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680" w:right="1280" w:hanging="2399"/>
        <w:spacing w:after="0" w:line="326" w:lineRule="auto"/>
        <w:tabs>
          <w:tab w:leader="none" w:pos="165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70"/>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09" w:lineRule="exact"/>
        <w:rPr>
          <w:sz w:val="24"/>
          <w:szCs w:val="24"/>
          <w:color w:val="auto"/>
        </w:rPr>
      </w:pPr>
    </w:p>
    <w:p>
      <w:pPr>
        <w:ind w:right="20" w:firstLine="599"/>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20" w:firstLine="599"/>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50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line="202" w:lineRule="exact"/>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right="140" w:firstLine="599"/>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600" w:right="1300" w:hanging="598"/>
        <w:spacing w:after="0" w:line="258"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20, 2026, the registrant had 105,538,883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836930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7"/>
          </w:tcPr>
          <w:p>
            <w:pPr>
              <w:ind w:left="20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1"/>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60" w:type="dxa"/>
            <w:vAlign w:val="bottom"/>
            <w:gridSpan w:val="15"/>
            <w:vMerge w:val="restart"/>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60" w:type="dxa"/>
            <w:vAlign w:val="bottom"/>
            <w:tcBorders>
              <w:bottom w:val="single" w:sz="8" w:color="0000FF"/>
            </w:tcBorders>
            <w:gridSpan w:val="11"/>
            <w:vMerge w:val="continue"/>
          </w:tcPr>
          <w:p>
            <w:pPr>
              <w:spacing w:after="0"/>
              <w:rPr>
                <w:sz w:val="14"/>
                <w:szCs w:val="14"/>
                <w:color w:val="auto"/>
              </w:rPr>
            </w:pPr>
          </w:p>
        </w:tc>
        <w:tc>
          <w:tcPr>
            <w:tcW w:w="706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bottom w:val="single" w:sz="8" w:color="0000FF"/>
            </w:tcBorders>
          </w:tcPr>
          <w:p>
            <w:pPr>
              <w:spacing w:after="0"/>
              <w:rPr>
                <w:sz w:val="15"/>
                <w:szCs w:val="15"/>
                <w:color w:val="auto"/>
              </w:rPr>
            </w:pPr>
          </w:p>
        </w:tc>
        <w:tc>
          <w:tcPr>
            <w:tcW w:w="48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77"/>
              </w:rPr>
              <w:t>Income</w:t>
            </w:r>
          </w:p>
        </w:tc>
        <w:tc>
          <w:tcPr>
            <w:tcW w:w="40" w:type="dxa"/>
            <w:vAlign w:val="bottom"/>
            <w:tcBorders>
              <w:bottom w:val="single" w:sz="8" w:color="0000EE"/>
            </w:tcBorders>
          </w:tcPr>
          <w:p>
            <w:pPr>
              <w:spacing w:after="0"/>
              <w:rPr>
                <w:sz w:val="15"/>
                <w:szCs w:val="15"/>
                <w:color w:val="auto"/>
              </w:rPr>
            </w:pPr>
          </w:p>
        </w:tc>
        <w:tc>
          <w:tcPr>
            <w:tcW w:w="6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4"/>
              </w:rPr>
              <w:t>Consolidated Statements of Shareholders’</w:t>
            </w:r>
          </w:p>
        </w:tc>
        <w:tc>
          <w:tcPr>
            <w:tcW w:w="20" w:type="dxa"/>
            <w:vAlign w:val="bottom"/>
            <w:tcBorders>
              <w:top w:val="single" w:sz="8" w:color="0000EE"/>
            </w:tcBorders>
          </w:tcPr>
          <w:p>
            <w:pPr>
              <w:spacing w:after="0"/>
              <w:rPr>
                <w:sz w:val="15"/>
                <w:szCs w:val="15"/>
                <w:color w:val="auto"/>
              </w:rPr>
            </w:pPr>
          </w:p>
        </w:tc>
        <w:tc>
          <w:tcPr>
            <w:tcW w:w="6100" w:type="dxa"/>
            <w:vAlign w:val="bottom"/>
            <w:gridSpan w:val="7"/>
          </w:tcPr>
          <w:p>
            <w:pPr>
              <w:ind w:left="20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3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w:t>
            </w:r>
          </w:p>
        </w:tc>
        <w:tc>
          <w:tcPr>
            <w:tcW w:w="4940" w:type="dxa"/>
            <w:vAlign w:val="bottom"/>
            <w:gridSpan w:val="4"/>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4"/>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5"/>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6"/>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30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$113,889 and $153,144 Cash of consolidated joint ventures)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296,954</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220"/>
              <w:spacing w:after="0"/>
              <w:rPr>
                <w:sz w:val="20"/>
                <w:szCs w:val="20"/>
                <w:color w:val="auto"/>
              </w:rPr>
            </w:pPr>
            <w:r>
              <w:rPr>
                <w:rFonts w:ascii="Arial" w:cs="Arial" w:eastAsia="Arial" w:hAnsi="Arial"/>
                <w:sz w:val="14"/>
                <w:szCs w:val="14"/>
                <w:color w:val="auto"/>
              </w:rPr>
              <w:t>Accounts receivable, net (including $303,583 and $337,270 Accounts receivable of consolidated joint ventures)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1,108,366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1,124,417</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assets (including $49,488 and $41,318 Contract assets of consolidated joint ventures)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951,578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915,806</w:t>
            </w:r>
          </w:p>
        </w:tc>
        <w:tc>
          <w:tcPr>
            <w:tcW w:w="100" w:type="dxa"/>
            <w:vAlign w:val="bottom"/>
            <w:shd w:val="clear" w:color="auto" w:fill="CFF0FC"/>
          </w:tcPr>
          <w:p>
            <w:pPr>
              <w:spacing w:after="0"/>
              <w:rPr>
                <w:sz w:val="14"/>
                <w:szCs w:val="14"/>
                <w:color w:val="auto"/>
              </w:rPr>
            </w:pPr>
          </w:p>
        </w:tc>
      </w:tr>
      <w:tr>
        <w:trPr>
          <w:trHeight w:val="153"/>
        </w:trPr>
        <w:tc>
          <w:tcPr>
            <w:tcW w:w="8620" w:type="dxa"/>
            <w:vAlign w:val="bottom"/>
          </w:tcPr>
          <w:p>
            <w:pPr>
              <w:ind w:left="220"/>
              <w:spacing w:after="0" w:line="153" w:lineRule="exact"/>
              <w:rPr>
                <w:sz w:val="20"/>
                <w:szCs w:val="20"/>
                <w:color w:val="auto"/>
              </w:rPr>
            </w:pPr>
            <w:r>
              <w:rPr>
                <w:rFonts w:ascii="Arial" w:cs="Arial" w:eastAsia="Arial" w:hAnsi="Arial"/>
                <w:sz w:val="14"/>
                <w:szCs w:val="14"/>
                <w:color w:val="auto"/>
              </w:rPr>
              <w:t>Prepaid expenses and other current assets (including $13,043 and $11,145 Prepaid expenses and other current assets of</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62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201,251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176,932</w:t>
            </w:r>
          </w:p>
        </w:tc>
        <w:tc>
          <w:tcPr>
            <w:tcW w:w="100" w:type="dxa"/>
            <w:vAlign w:val="bottom"/>
          </w:tcPr>
          <w:p>
            <w:pPr>
              <w:spacing w:after="0"/>
              <w:rPr>
                <w:sz w:val="14"/>
                <w:szCs w:val="14"/>
                <w:color w:val="auto"/>
              </w:rPr>
            </w:pPr>
          </w:p>
        </w:tc>
      </w:tr>
      <w:tr>
        <w:trPr>
          <w:trHeight w:val="162"/>
        </w:trPr>
        <w:tc>
          <w:tcPr>
            <w:tcW w:w="8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Assets held for sale</w:t>
            </w: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20,960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620" w:type="dxa"/>
            <w:vAlign w:val="bottom"/>
          </w:tcPr>
          <w:p>
            <w:pPr>
              <w:ind w:left="34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2,579,109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2,683,543</w:t>
            </w:r>
          </w:p>
        </w:tc>
        <w:tc>
          <w:tcPr>
            <w:tcW w:w="100" w:type="dxa"/>
            <w:vAlign w:val="bottom"/>
          </w:tcPr>
          <w:p>
            <w:pPr>
              <w:spacing w:after="0"/>
              <w:rPr>
                <w:sz w:val="13"/>
                <w:szCs w:val="13"/>
                <w:color w:val="auto"/>
              </w:rPr>
            </w:pPr>
          </w:p>
        </w:tc>
      </w:tr>
      <w:tr>
        <w:trPr>
          <w:trHeight w:val="155"/>
        </w:trPr>
        <w:tc>
          <w:tcPr>
            <w:tcW w:w="86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Property and Equipment, net (including $2,251 and $2,488 Property and equipment of consolidated joint ventures)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168,286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151,061</w:t>
            </w:r>
          </w:p>
        </w:tc>
        <w:tc>
          <w:tcPr>
            <w:tcW w:w="100" w:type="dxa"/>
            <w:vAlign w:val="bottom"/>
          </w:tcPr>
          <w:p>
            <w:pPr>
              <w:spacing w:after="0"/>
              <w:rPr>
                <w:sz w:val="14"/>
                <w:szCs w:val="14"/>
                <w:color w:val="auto"/>
              </w:rPr>
            </w:pPr>
          </w:p>
        </w:tc>
      </w:tr>
      <w:tr>
        <w:trPr>
          <w:trHeight w:val="153"/>
        </w:trPr>
        <w:tc>
          <w:tcPr>
            <w:tcW w:w="862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Right of use assets, operating leases (including $3,512 and $4,482 Right of use assets, operating leases of consolidated joint</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ventures)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157,932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126,770</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2,421,589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2,186,650</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Investments in and advances to unconsolidated joint ventures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174,764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148,640</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362,668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325,880</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88,191</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58,799</w:t>
            </w:r>
          </w:p>
        </w:tc>
        <w:tc>
          <w:tcPr>
            <w:tcW w:w="100" w:type="dxa"/>
            <w:vAlign w:val="bottom"/>
          </w:tcPr>
          <w:p>
            <w:pPr>
              <w:spacing w:after="0"/>
              <w:rPr>
                <w:sz w:val="14"/>
                <w:szCs w:val="14"/>
                <w:color w:val="auto"/>
              </w:rPr>
            </w:pPr>
          </w:p>
        </w:tc>
      </w:tr>
      <w:tr>
        <w:trPr>
          <w:trHeight w:val="196"/>
        </w:trPr>
        <w:tc>
          <w:tcPr>
            <w:tcW w:w="8620" w:type="dxa"/>
            <w:vAlign w:val="bottom"/>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5,985,237</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100" w:type="dxa"/>
            <w:vAlign w:val="bottom"/>
            <w:shd w:val="clear" w:color="auto" w:fill="CFF0FC"/>
          </w:tcPr>
          <w:p>
            <w:pPr>
              <w:spacing w:after="0"/>
              <w:rPr>
                <w:sz w:val="17"/>
                <w:szCs w:val="17"/>
                <w:color w:val="auto"/>
              </w:rPr>
            </w:pPr>
          </w:p>
        </w:tc>
      </w:tr>
      <w:tr>
        <w:trPr>
          <w:trHeight w:val="143"/>
        </w:trPr>
        <w:tc>
          <w:tcPr>
            <w:tcW w:w="862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8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Accounts payable (including $46,000 and $58,914 Accounts payable of consolidated joint ventures)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243,380</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250,514</w:t>
            </w:r>
          </w:p>
        </w:tc>
        <w:tc>
          <w:tcPr>
            <w:tcW w:w="100" w:type="dxa"/>
            <w:vAlign w:val="bottom"/>
            <w:shd w:val="clear" w:color="auto" w:fill="CFF0FC"/>
          </w:tcPr>
          <w:p>
            <w:pPr>
              <w:spacing w:after="0"/>
              <w:rPr>
                <w:sz w:val="14"/>
                <w:szCs w:val="14"/>
                <w:color w:val="auto"/>
              </w:rPr>
            </w:pPr>
          </w:p>
        </w:tc>
      </w:tr>
      <w:tr>
        <w:trPr>
          <w:trHeight w:val="153"/>
        </w:trPr>
        <w:tc>
          <w:tcPr>
            <w:tcW w:w="8620" w:type="dxa"/>
            <w:vAlign w:val="bottom"/>
          </w:tcPr>
          <w:p>
            <w:pPr>
              <w:ind w:left="180"/>
              <w:spacing w:after="0" w:line="153" w:lineRule="exact"/>
              <w:rPr>
                <w:sz w:val="20"/>
                <w:szCs w:val="20"/>
                <w:color w:val="auto"/>
              </w:rPr>
            </w:pPr>
            <w:r>
              <w:rPr>
                <w:rFonts w:ascii="Arial" w:cs="Arial" w:eastAsia="Arial" w:hAnsi="Arial"/>
                <w:sz w:val="14"/>
                <w:szCs w:val="14"/>
                <w:color w:val="auto"/>
              </w:rPr>
              <w:t>Accrued expenses and other current liabilities (including $186,050 and $195,747 Accrued expenses and other current liabilities of</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62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968,905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884,445</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Contract liabilities (including $35,706 and $44,802 Contract liabilities of consolidated joint ventures)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308,414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340,113</w:t>
            </w:r>
          </w:p>
        </w:tc>
        <w:tc>
          <w:tcPr>
            <w:tcW w:w="100" w:type="dxa"/>
            <w:vAlign w:val="bottom"/>
            <w:shd w:val="clear" w:color="auto" w:fill="CFF0FC"/>
          </w:tcPr>
          <w:p>
            <w:pPr>
              <w:spacing w:after="0"/>
              <w:rPr>
                <w:sz w:val="14"/>
                <w:szCs w:val="14"/>
                <w:color w:val="auto"/>
              </w:rPr>
            </w:pPr>
          </w:p>
        </w:tc>
      </w:tr>
      <w:tr>
        <w:trPr>
          <w:trHeight w:val="153"/>
        </w:trPr>
        <w:tc>
          <w:tcPr>
            <w:tcW w:w="8620" w:type="dxa"/>
            <w:vAlign w:val="bottom"/>
          </w:tcPr>
          <w:p>
            <w:pPr>
              <w:ind w:left="180"/>
              <w:spacing w:after="0" w:line="153" w:lineRule="exact"/>
              <w:rPr>
                <w:sz w:val="20"/>
                <w:szCs w:val="20"/>
                <w:color w:val="auto"/>
              </w:rPr>
            </w:pPr>
            <w:r>
              <w:rPr>
                <w:rFonts w:ascii="Arial" w:cs="Arial" w:eastAsia="Arial" w:hAnsi="Arial"/>
                <w:sz w:val="14"/>
                <w:szCs w:val="14"/>
                <w:color w:val="auto"/>
              </w:rPr>
              <w:t>Short-term lease liabilities, operating leases (including $1,766 and $2,395 Short-term lease liabilities, operating leases of</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862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38,742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45,353</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Income taxes payable</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11,239</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Liabilities held for sale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57,415</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4"/>
                <w:szCs w:val="14"/>
                <w:color w:val="auto"/>
              </w:rPr>
            </w:pPr>
          </w:p>
        </w:tc>
      </w:tr>
      <w:tr>
        <w:trPr>
          <w:trHeight w:val="155"/>
        </w:trPr>
        <w:tc>
          <w:tcPr>
            <w:tcW w:w="862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1,617,116</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1,531,664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employee incentives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27,528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30,834</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1,357,164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1,237,816</w:t>
            </w:r>
          </w:p>
        </w:tc>
        <w:tc>
          <w:tcPr>
            <w:tcW w:w="100" w:type="dxa"/>
            <w:vAlign w:val="bottom"/>
          </w:tcPr>
          <w:p>
            <w:pPr>
              <w:spacing w:after="0"/>
              <w:rPr>
                <w:sz w:val="14"/>
                <w:szCs w:val="14"/>
                <w:color w:val="auto"/>
              </w:rPr>
            </w:pPr>
          </w:p>
        </w:tc>
      </w:tr>
      <w:tr>
        <w:trPr>
          <w:trHeight w:val="153"/>
        </w:trPr>
        <w:tc>
          <w:tcPr>
            <w:tcW w:w="862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Long-term lease liabilities, operating leases (including $1,742 and $2,083 Long-term lease liabilities, operating leases of</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94,044</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12,159</w:t>
            </w:r>
          </w:p>
        </w:tc>
        <w:tc>
          <w:tcPr>
            <w:tcW w:w="100" w:type="dxa"/>
            <w:vAlign w:val="bottom"/>
          </w:tcPr>
          <w:p>
            <w:pPr>
              <w:spacing w:after="0"/>
              <w:rPr>
                <w:sz w:val="14"/>
                <w:szCs w:val="14"/>
                <w:color w:val="auto"/>
              </w:rPr>
            </w:pPr>
          </w:p>
        </w:tc>
      </w:tr>
      <w:tr>
        <w:trPr>
          <w:trHeight w:val="162"/>
        </w:trPr>
        <w:tc>
          <w:tcPr>
            <w:tcW w:w="8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91,939</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95,345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62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3,237,080</w:t>
            </w:r>
          </w:p>
        </w:tc>
        <w:tc>
          <w:tcPr>
            <w:tcW w:w="120" w:type="dxa"/>
            <w:vAlign w:val="bottom"/>
          </w:tcPr>
          <w:p>
            <w:pPr>
              <w:spacing w:after="0"/>
              <w:rPr>
                <w:sz w:val="13"/>
                <w:szCs w:val="13"/>
                <w:color w:val="auto"/>
              </w:rPr>
            </w:pPr>
          </w:p>
        </w:tc>
        <w:tc>
          <w:tcPr>
            <w:tcW w:w="3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3,001,862</w:t>
            </w:r>
          </w:p>
        </w:tc>
        <w:tc>
          <w:tcPr>
            <w:tcW w:w="100" w:type="dxa"/>
            <w:vAlign w:val="bottom"/>
          </w:tcPr>
          <w:p>
            <w:pPr>
              <w:spacing w:after="0"/>
              <w:rPr>
                <w:sz w:val="13"/>
                <w:szCs w:val="13"/>
                <w:color w:val="auto"/>
              </w:rPr>
            </w:pPr>
          </w:p>
        </w:tc>
      </w:tr>
      <w:tr>
        <w:trPr>
          <w:trHeight w:val="20"/>
        </w:trPr>
        <w:tc>
          <w:tcPr>
            <w:tcW w:w="8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6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Contingencies (Note 12)</w:t>
            </w:r>
          </w:p>
        </w:tc>
        <w:tc>
          <w:tcPr>
            <w:tcW w:w="2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620" w:type="dxa"/>
            <w:vAlign w:val="bottom"/>
          </w:tcPr>
          <w:p>
            <w:pPr>
              <w:spacing w:after="0"/>
              <w:rPr>
                <w:sz w:val="20"/>
                <w:szCs w:val="20"/>
                <w:color w:val="auto"/>
              </w:rPr>
            </w:pPr>
            <w:r>
              <w:rPr>
                <w:rFonts w:ascii="Arial" w:cs="Arial" w:eastAsia="Arial" w:hAnsi="Arial"/>
                <w:sz w:val="14"/>
                <w:szCs w:val="14"/>
                <w:color w:val="auto"/>
              </w:rPr>
              <w:t>Shareholders' equity:</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862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Common stock, $1 par value; authorized 1,000,000,000 shares; 144,239,300 and 145,676,335 shares issued; 57,002,408 and</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56,103,965 public shares outstanding; 48,528,639 and 50,864,117 ESOP shares outstanding</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144,239</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Treasury stock, 38,708,253 shares at cost</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(793,002)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(792,638)</w:t>
            </w: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2,564,768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100" w:type="dxa"/>
            <w:vAlign w:val="bottom"/>
            <w:shd w:val="clear" w:color="auto" w:fill="CFF0FC"/>
          </w:tcPr>
          <w:p>
            <w:pPr>
              <w:spacing w:after="0"/>
              <w:rPr>
                <w:sz w:val="14"/>
                <w:szCs w:val="14"/>
                <w:color w:val="auto"/>
              </w:rPr>
            </w:pPr>
          </w:p>
        </w:tc>
      </w:tr>
      <w:tr>
        <w:trPr>
          <w:trHeight w:val="162"/>
        </w:trPr>
        <w:tc>
          <w:tcPr>
            <w:tcW w:w="86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748,805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661,173</w:t>
            </w:r>
          </w:p>
        </w:tc>
        <w:tc>
          <w:tcPr>
            <w:tcW w:w="100" w:type="dxa"/>
            <w:vAlign w:val="bottom"/>
          </w:tcPr>
          <w:p>
            <w:pPr>
              <w:spacing w:after="0"/>
              <w:rPr>
                <w:sz w:val="14"/>
                <w:szCs w:val="14"/>
                <w:color w:val="auto"/>
              </w:rPr>
            </w:pPr>
          </w:p>
        </w:tc>
      </w:tr>
      <w:tr>
        <w:trPr>
          <w:trHeight w:val="162"/>
        </w:trPr>
        <w:tc>
          <w:tcPr>
            <w:tcW w:w="86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(27,162)</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(20,921)</w:t>
            </w:r>
          </w:p>
        </w:tc>
      </w:tr>
      <w:tr>
        <w:trPr>
          <w:trHeight w:val="155"/>
        </w:trPr>
        <w:tc>
          <w:tcPr>
            <w:tcW w:w="8620" w:type="dxa"/>
            <w:vAlign w:val="bottom"/>
            <w:tcBorders>
              <w:top w:val="single" w:sz="8" w:color="CFF0FC"/>
            </w:tcBorders>
          </w:tcPr>
          <w:p>
            <w:pPr>
              <w:ind w:left="18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2,637,648</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2,642,020</w:t>
            </w:r>
          </w:p>
        </w:tc>
        <w:tc>
          <w:tcPr>
            <w:tcW w:w="100" w:type="dxa"/>
            <w:vAlign w:val="bottom"/>
            <w:tcBorders>
              <w:top w:val="single" w:sz="8" w:color="CFF0FC"/>
            </w:tcBorders>
          </w:tcPr>
          <w:p>
            <w:pPr>
              <w:spacing w:after="0"/>
              <w:rPr>
                <w:sz w:val="13"/>
                <w:szCs w:val="13"/>
                <w:color w:val="auto"/>
              </w:rPr>
            </w:pPr>
          </w:p>
        </w:tc>
      </w:tr>
      <w:tr>
        <w:trPr>
          <w:trHeight w:val="162"/>
        </w:trPr>
        <w:tc>
          <w:tcPr>
            <w:tcW w:w="8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Noncontrolling interests</w:t>
            </w: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110,509</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8620" w:type="dxa"/>
            <w:vAlign w:val="bottom"/>
          </w:tcPr>
          <w:p>
            <w:pPr>
              <w:ind w:left="180"/>
              <w:spacing w:after="0" w:line="155" w:lineRule="exact"/>
              <w:rPr>
                <w:sz w:val="20"/>
                <w:szCs w:val="20"/>
                <w:color w:val="auto"/>
              </w:rPr>
            </w:pPr>
            <w:r>
              <w:rPr>
                <w:rFonts w:ascii="Arial" w:cs="Arial" w:eastAsia="Arial" w:hAnsi="Arial"/>
                <w:sz w:val="14"/>
                <w:szCs w:val="14"/>
                <w:color w:val="auto"/>
              </w:rPr>
              <w:t>Total shareholders' equity</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2,748,157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2,767,672</w:t>
            </w:r>
          </w:p>
        </w:tc>
        <w:tc>
          <w:tcPr>
            <w:tcW w:w="100" w:type="dxa"/>
            <w:vAlign w:val="bottom"/>
          </w:tcPr>
          <w:p>
            <w:pPr>
              <w:spacing w:after="0"/>
              <w:rPr>
                <w:sz w:val="13"/>
                <w:szCs w:val="13"/>
                <w:color w:val="auto"/>
              </w:rPr>
            </w:pPr>
          </w:p>
        </w:tc>
      </w:tr>
      <w:tr>
        <w:trPr>
          <w:trHeight w:val="176"/>
        </w:trPr>
        <w:tc>
          <w:tcPr>
            <w:tcW w:w="8620" w:type="dxa"/>
            <w:vAlign w:val="bottom"/>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5,985,237</w:t>
            </w:r>
          </w:p>
        </w:tc>
        <w:tc>
          <w:tcPr>
            <w:tcW w:w="12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5,769,534</w:t>
            </w:r>
          </w:p>
        </w:tc>
        <w:tc>
          <w:tcPr>
            <w:tcW w:w="100" w:type="dxa"/>
            <w:vAlign w:val="bottom"/>
            <w:shd w:val="clear" w:color="auto" w:fill="CFF0FC"/>
          </w:tcPr>
          <w:p>
            <w:pPr>
              <w:spacing w:after="0"/>
              <w:rPr>
                <w:sz w:val="15"/>
                <w:szCs w:val="15"/>
                <w:color w:val="auto"/>
              </w:rPr>
            </w:pPr>
          </w:p>
        </w:tc>
      </w:tr>
      <w:tr>
        <w:trPr>
          <w:trHeight w:val="20"/>
        </w:trPr>
        <w:tc>
          <w:tcPr>
            <w:tcW w:w="86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-4577080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-3419475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-3402965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-3402965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6207125</wp:posOffset>
            </wp:positionH>
            <wp:positionV relativeFrom="paragraph">
              <wp:posOffset>-2275205</wp:posOffset>
            </wp:positionV>
            <wp:extent cx="939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-2275205</wp:posOffset>
            </wp:positionV>
            <wp:extent cx="939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-1422400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-462280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-248285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1"/>
              <w:spacing w:after="0" w:line="147"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4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71"/>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5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1,650,548</w:t>
            </w:r>
          </w:p>
        </w:tc>
        <w:tc>
          <w:tcPr>
            <w:tcW w:w="1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4,717,591</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1,268,481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1,261,893</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3,682,866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3,698,240</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7,242</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8,266</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(20,350)</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6,937</w:t>
            </w:r>
          </w:p>
        </w:tc>
        <w:tc>
          <w:tcPr>
            <w:tcW w:w="100" w:type="dxa"/>
            <w:vAlign w:val="bottom"/>
            <w:shd w:val="clear" w:color="auto" w:fill="CFF0FC"/>
          </w:tcPr>
          <w:p>
            <w:pPr>
              <w:spacing w:after="0"/>
              <w:rPr>
                <w:sz w:val="17"/>
                <w:szCs w:val="17"/>
                <w:color w:val="auto"/>
              </w:rPr>
            </w:pPr>
          </w:p>
        </w:tc>
      </w:tr>
      <w:tr>
        <w:trPr>
          <w:trHeight w:val="202"/>
        </w:trPr>
        <w:tc>
          <w:tcPr>
            <w:tcW w:w="52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285,490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260,166</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813,587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756,279</w:t>
            </w:r>
          </w:p>
        </w:tc>
        <w:tc>
          <w:tcPr>
            <w:tcW w:w="100" w:type="dxa"/>
            <w:vAlign w:val="bottom"/>
          </w:tcPr>
          <w:p>
            <w:pPr>
              <w:spacing w:after="0"/>
              <w:rPr>
                <w:sz w:val="17"/>
                <w:szCs w:val="17"/>
                <w:color w:val="auto"/>
              </w:rPr>
            </w:pPr>
          </w:p>
        </w:tc>
      </w:tr>
      <w:tr>
        <w:trPr>
          <w:trHeight w:val="19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103,819</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107,955</w:t>
            </w:r>
          </w:p>
        </w:tc>
        <w:tc>
          <w:tcPr>
            <w:tcW w:w="3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200,788</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312,849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2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864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1,839</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3,240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5,049</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(16,301)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(13,535)</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(48,685)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(38,350)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7"/>
                <w:szCs w:val="17"/>
                <w:color w:val="auto"/>
              </w:rPr>
            </w:pP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1,570</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17,569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8,224</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(15,962)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(10,126)</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(27,876)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(25,077)</w:t>
            </w:r>
          </w:p>
        </w:tc>
      </w:tr>
      <w:tr>
        <w:trPr>
          <w:trHeight w:val="196"/>
        </w:trPr>
        <w:tc>
          <w:tcPr>
            <w:tcW w:w="5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87,857</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97,829</w:t>
            </w:r>
          </w:p>
        </w:tc>
        <w:tc>
          <w:tcPr>
            <w:tcW w:w="3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172,912</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287,772</w:t>
            </w:r>
          </w:p>
        </w:tc>
        <w:tc>
          <w:tcPr>
            <w:tcW w:w="100" w:type="dxa"/>
            <w:vAlign w:val="bottom"/>
            <w:tcBorders>
              <w:top w:val="single" w:sz="8" w:color="CFF0FC"/>
            </w:tcBorders>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(20,446)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(16,035)</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(40,755)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(53,702)</w:t>
            </w:r>
          </w:p>
        </w:tc>
      </w:tr>
      <w:tr>
        <w:trPr>
          <w:trHeight w:val="196"/>
        </w:trPr>
        <w:tc>
          <w:tcPr>
            <w:tcW w:w="52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67,411</w:t>
            </w:r>
          </w:p>
        </w:tc>
        <w:tc>
          <w:tcPr>
            <w:tcW w:w="1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81,794</w:t>
            </w:r>
          </w:p>
        </w:tc>
        <w:tc>
          <w:tcPr>
            <w:tcW w:w="3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132,157</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234,070</w:t>
            </w:r>
          </w:p>
        </w:tc>
        <w:tc>
          <w:tcPr>
            <w:tcW w:w="100" w:type="dxa"/>
            <w:vAlign w:val="bottom"/>
            <w:tcBorders>
              <w:top w:val="single" w:sz="8" w:color="CFF0FC"/>
            </w:tcBorders>
          </w:tcPr>
          <w:p>
            <w:pPr>
              <w:spacing w:after="0"/>
              <w:rPr>
                <w:sz w:val="17"/>
                <w:szCs w:val="17"/>
                <w:color w:val="auto"/>
              </w:rPr>
            </w:pPr>
          </w:p>
        </w:tc>
      </w:tr>
      <w:tr>
        <w:trPr>
          <w:trHeight w:val="203"/>
        </w:trPr>
        <w:tc>
          <w:tcPr>
            <w:tcW w:w="5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(13,258)</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(17,671)</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(40,297)</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(48,514)</w:t>
            </w:r>
          </w:p>
        </w:tc>
      </w:tr>
      <w:tr>
        <w:trPr>
          <w:trHeight w:val="20"/>
        </w:trPr>
        <w:tc>
          <w:tcPr>
            <w:tcW w:w="5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20" w:type="dxa"/>
            <w:vAlign w:val="bottom"/>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54,153</w:t>
            </w:r>
          </w:p>
        </w:tc>
        <w:tc>
          <w:tcPr>
            <w:tcW w:w="180" w:type="dxa"/>
            <w:vAlign w:val="bottom"/>
          </w:tcPr>
          <w:p>
            <w:pPr>
              <w:spacing w:after="0"/>
              <w:rPr>
                <w:sz w:val="17"/>
                <w:szCs w:val="17"/>
                <w:color w:val="auto"/>
              </w:rPr>
            </w:pPr>
          </w:p>
        </w:tc>
        <w:tc>
          <w:tcPr>
            <w:tcW w:w="400" w:type="dxa"/>
            <w:vAlign w:val="bottom"/>
            <w:gridSpan w:val="2"/>
          </w:tcPr>
          <w:p>
            <w:pPr>
              <w:jc w:val="right"/>
              <w:ind w:right="88"/>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64,123</w:t>
            </w:r>
          </w:p>
        </w:tc>
        <w:tc>
          <w:tcPr>
            <w:tcW w:w="340" w:type="dxa"/>
            <w:vAlign w:val="bottom"/>
          </w:tcPr>
          <w:p>
            <w:pPr>
              <w:spacing w:after="0"/>
              <w:rPr>
                <w:sz w:val="17"/>
                <w:szCs w:val="17"/>
                <w:color w:val="auto"/>
              </w:rPr>
            </w:pPr>
          </w:p>
        </w:tc>
        <w:tc>
          <w:tcPr>
            <w:tcW w:w="240" w:type="dxa"/>
            <w:vAlign w:val="bottom"/>
          </w:tcPr>
          <w:p>
            <w:pPr>
              <w:jc w:val="right"/>
              <w:ind w:right="54"/>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91,860</w:t>
            </w:r>
          </w:p>
        </w:tc>
        <w:tc>
          <w:tcPr>
            <w:tcW w:w="100" w:type="dxa"/>
            <w:vAlign w:val="bottom"/>
          </w:tcPr>
          <w:p>
            <w:pPr>
              <w:spacing w:after="0"/>
              <w:rPr>
                <w:sz w:val="17"/>
                <w:szCs w:val="17"/>
                <w:color w:val="auto"/>
              </w:rPr>
            </w:pPr>
          </w:p>
        </w:tc>
        <w:tc>
          <w:tcPr>
            <w:tcW w:w="480" w:type="dxa"/>
            <w:vAlign w:val="bottom"/>
            <w:gridSpan w:val="2"/>
          </w:tcPr>
          <w:p>
            <w:pPr>
              <w:jc w:val="right"/>
              <w:ind w:right="88"/>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185,556</w:t>
            </w:r>
          </w:p>
        </w:tc>
        <w:tc>
          <w:tcPr>
            <w:tcW w:w="100" w:type="dxa"/>
            <w:vAlign w:val="bottom"/>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Earnings per share:</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22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180" w:type="dxa"/>
            <w:vAlign w:val="bottom"/>
          </w:tcPr>
          <w:p>
            <w:pPr>
              <w:spacing w:after="0"/>
              <w:rPr>
                <w:sz w:val="17"/>
                <w:szCs w:val="17"/>
                <w:color w:val="auto"/>
              </w:rPr>
            </w:pPr>
          </w:p>
        </w:tc>
        <w:tc>
          <w:tcPr>
            <w:tcW w:w="4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0.60</w:t>
            </w:r>
          </w:p>
        </w:tc>
        <w:tc>
          <w:tcPr>
            <w:tcW w:w="340" w:type="dxa"/>
            <w:vAlign w:val="bottom"/>
          </w:tcPr>
          <w:p>
            <w:pPr>
              <w:spacing w:after="0"/>
              <w:rPr>
                <w:sz w:val="17"/>
                <w:szCs w:val="17"/>
                <w:color w:val="auto"/>
              </w:rPr>
            </w:pPr>
          </w:p>
        </w:tc>
        <w:tc>
          <w:tcPr>
            <w:tcW w:w="240" w:type="dxa"/>
            <w:vAlign w:val="bottom"/>
          </w:tcPr>
          <w:p>
            <w:pPr>
              <w:jc w:val="right"/>
              <w:ind w:right="5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r>
      <w:tr>
        <w:trPr>
          <w:trHeight w:val="203"/>
        </w:trPr>
        <w:tc>
          <w:tcPr>
            <w:tcW w:w="52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0.51</w:t>
            </w:r>
          </w:p>
        </w:tc>
        <w:tc>
          <w:tcPr>
            <w:tcW w:w="1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0.59</w:t>
            </w: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0.85</w:t>
            </w:r>
          </w:p>
        </w:tc>
        <w:tc>
          <w:tcPr>
            <w:tcW w:w="1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-1610995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-1610995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-1610995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-1079500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-1079500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-1079500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-814070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-814070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-814070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-548005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-548005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-548005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5"/>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2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67,411</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81,794</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132,157</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234,070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(4,946)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(6,240)</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140"/>
              <w:spacing w:after="0" w:line="202" w:lineRule="exact"/>
              <w:rPr>
                <w:sz w:val="20"/>
                <w:szCs w:val="20"/>
                <w:color w:val="auto"/>
              </w:rPr>
            </w:pPr>
            <w:r>
              <w:rPr>
                <w:rFonts w:ascii="Arial" w:cs="Arial" w:eastAsia="Arial" w:hAnsi="Arial"/>
                <w:sz w:val="18"/>
                <w:szCs w:val="18"/>
                <w:color w:val="auto"/>
              </w:rPr>
              <w:t>Pension adjustments, net of tax</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177"/>
        </w:trPr>
        <w:tc>
          <w:tcPr>
            <w:tcW w:w="5140" w:type="dxa"/>
            <w:vAlign w:val="bottom"/>
            <w:shd w:val="clear" w:color="auto" w:fill="CFF0FC"/>
          </w:tcPr>
          <w:p>
            <w:pPr>
              <w:ind w:left="260"/>
              <w:spacing w:after="0" w:line="177" w:lineRule="exact"/>
              <w:rPr>
                <w:sz w:val="20"/>
                <w:szCs w:val="20"/>
                <w:color w:val="auto"/>
              </w:rPr>
            </w:pPr>
            <w:r>
              <w:rPr>
                <w:rFonts w:ascii="Arial" w:cs="Arial" w:eastAsia="Arial" w:hAnsi="Arial"/>
                <w:sz w:val="18"/>
                <w:szCs w:val="18"/>
                <w:color w:val="auto"/>
              </w:rPr>
              <w:t>Comprehensive income including noncontrolling interests,</w:t>
            </w:r>
          </w:p>
        </w:tc>
        <w:tc>
          <w:tcPr>
            <w:tcW w:w="1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line="183" w:lineRule="exact"/>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(13,258)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(17,671)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(40,297)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(48,514)</w:t>
            </w:r>
          </w:p>
        </w:tc>
        <w:tc>
          <w:tcPr>
            <w:tcW w:w="0" w:type="dxa"/>
            <w:vAlign w:val="bottom"/>
          </w:tcPr>
          <w:p>
            <w:pPr>
              <w:spacing w:after="0"/>
              <w:rPr>
                <w:sz w:val="1"/>
                <w:szCs w:val="1"/>
                <w:color w:val="auto"/>
              </w:rPr>
            </w:pPr>
          </w:p>
        </w:tc>
      </w:tr>
      <w:tr>
        <w:trPr>
          <w:trHeight w:val="208"/>
        </w:trPr>
        <w:tc>
          <w:tcPr>
            <w:tcW w:w="5140" w:type="dxa"/>
            <w:vAlign w:val="bottom"/>
          </w:tcPr>
          <w:p>
            <w:pPr>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Comprehensive income attributable to Parsons Corporation,</w:t>
            </w:r>
          </w:p>
        </w:tc>
        <w:tc>
          <w:tcPr>
            <w:tcW w:w="140" w:type="dxa"/>
            <w:vAlign w:val="bottom"/>
            <w:vMerge w:val="restart"/>
            <w:shd w:val="clear" w:color="auto" w:fill="CFF0FC"/>
          </w:tcPr>
          <w:p>
            <w:pPr>
              <w:spacing w:after="0"/>
              <w:rPr>
                <w:sz w:val="15"/>
                <w:szCs w:val="15"/>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54,434</w:t>
            </w:r>
          </w:p>
        </w:tc>
        <w:tc>
          <w:tcPr>
            <w:tcW w:w="140" w:type="dxa"/>
            <w:vAlign w:val="bottom"/>
            <w:shd w:val="clear" w:color="auto" w:fill="CFF0FC"/>
          </w:tcPr>
          <w:p>
            <w:pPr>
              <w:spacing w:after="0"/>
              <w:rPr>
                <w:sz w:val="15"/>
                <w:szCs w:val="15"/>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57,902</w:t>
            </w:r>
          </w:p>
        </w:tc>
        <w:tc>
          <w:tcPr>
            <w:tcW w:w="140" w:type="dxa"/>
            <w:vAlign w:val="bottom"/>
            <w:shd w:val="clear" w:color="auto" w:fill="CFF0FC"/>
          </w:tcPr>
          <w:p>
            <w:pPr>
              <w:spacing w:after="0"/>
              <w:rPr>
                <w:sz w:val="15"/>
                <w:szCs w:val="15"/>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85,620</w:t>
            </w:r>
          </w:p>
        </w:tc>
        <w:tc>
          <w:tcPr>
            <w:tcW w:w="140" w:type="dxa"/>
            <w:vAlign w:val="bottom"/>
            <w:shd w:val="clear" w:color="auto" w:fill="CFF0FC"/>
          </w:tcPr>
          <w:p>
            <w:pPr>
              <w:spacing w:after="0"/>
              <w:rPr>
                <w:sz w:val="15"/>
                <w:szCs w:val="15"/>
                <w:color w:val="auto"/>
              </w:rPr>
            </w:pP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187,872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140" w:type="dxa"/>
            <w:vAlign w:val="bottom"/>
            <w:shd w:val="clear" w:color="auto" w:fill="CFF0FC"/>
          </w:tcPr>
          <w:p>
            <w:pPr>
              <w:spacing w:after="0" w:line="161" w:lineRule="exact"/>
              <w:rPr>
                <w:sz w:val="20"/>
                <w:szCs w:val="20"/>
                <w:color w:val="auto"/>
              </w:rPr>
            </w:pPr>
            <w:r>
              <w:rPr>
                <w:rFonts w:ascii="Arial" w:cs="Arial" w:eastAsia="Arial" w:hAnsi="Arial"/>
                <w:sz w:val="18"/>
                <w:szCs w:val="18"/>
                <w:color w:val="auto"/>
              </w:rPr>
              <w:t>net of tax</w:t>
            </w:r>
          </w:p>
        </w:tc>
        <w:tc>
          <w:tcPr>
            <w:tcW w:w="14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gridSpan w:val="2"/>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-25400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5"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For the Nine Months Ended</w:t>
            </w:r>
          </w:p>
        </w:tc>
      </w:tr>
      <w:tr>
        <w:trPr>
          <w:trHeight w:val="155"/>
        </w:trPr>
        <w:tc>
          <w:tcPr>
            <w:tcW w:w="77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September 30, 2026</w:t>
            </w: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3"/>
                <w:szCs w:val="13"/>
                <w:color w:val="auto"/>
              </w:rPr>
            </w:pPr>
          </w:p>
        </w:tc>
      </w:tr>
      <w:tr>
        <w:trPr>
          <w:trHeight w:val="156"/>
        </w:trPr>
        <w:tc>
          <w:tcPr>
            <w:tcW w:w="77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132,157</w:t>
            </w:r>
          </w:p>
        </w:tc>
        <w:tc>
          <w:tcPr>
            <w:tcW w:w="2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234,070</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106,681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85,844</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Amortization of debt issue costs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Loss (gain) on disposal of property and equipment</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Loss (gain) on sale of business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(19,300)</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Deferred taxes</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3,167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27,841</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Foreign currency transaction gains and losses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(5,327)</w:t>
            </w: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Equity in losses (earnings) of unconsolidated joint ventures</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20,350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(6,937)</w:t>
            </w: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Return on investments in unconsolidated joint ventures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26,562</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34,713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32,726</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Contributions of treasury stock</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54,023</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Changes in assets and liabilities, net of acquisitions</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32,775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(90,740)</w:t>
            </w: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Contract assets</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(51,178)</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(70,659)</w:t>
            </w: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(31,874)</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(17,249)</w:t>
            </w: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(10,647)</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45,365</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22,425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(47,559)</w:t>
            </w: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Contract liabilities</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26,788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39,497</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Income taxes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(12,059)</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3,713</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60"/>
              <w:spacing w:after="0"/>
              <w:rPr>
                <w:sz w:val="20"/>
                <w:szCs w:val="20"/>
                <w:color w:val="auto"/>
              </w:rPr>
            </w:pPr>
            <w:r>
              <w:rPr>
                <w:rFonts w:ascii="Arial" w:cs="Arial" w:eastAsia="Arial" w:hAnsi="Arial"/>
                <w:sz w:val="14"/>
                <w:szCs w:val="14"/>
                <w:color w:val="auto"/>
              </w:rPr>
              <w:t>Other long-term liabilities</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(18,998)</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(4,327)</w:t>
            </w:r>
          </w:p>
        </w:tc>
      </w:tr>
      <w:tr>
        <w:trPr>
          <w:trHeight w:val="156"/>
        </w:trPr>
        <w:tc>
          <w:tcPr>
            <w:tcW w:w="774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322,619</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310,864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5"/>
        </w:trPr>
        <w:tc>
          <w:tcPr>
            <w:tcW w:w="7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(48,961)</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(36,030)</w:t>
            </w: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Proceeds from sale of property and equipment</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sale of business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23,966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Payments for acquisitions, net of cash acquired</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(330,123)</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(118,294)</w:t>
            </w: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Investments in unconsolidated joint ventures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(79,176)</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(62,383)</w:t>
            </w:r>
          </w:p>
        </w:tc>
      </w:tr>
      <w:tr>
        <w:trPr>
          <w:trHeight w:val="162"/>
        </w:trPr>
        <w:tc>
          <w:tcPr>
            <w:tcW w:w="774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Return of investments in unconsolidated joint ventures</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7,537</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28,358</w:t>
            </w:r>
          </w:p>
        </w:tc>
        <w:tc>
          <w:tcPr>
            <w:tcW w:w="120" w:type="dxa"/>
            <w:vAlign w:val="bottom"/>
            <w:tcBorders>
              <w:bottom w:val="single" w:sz="8" w:color="CFF0FC"/>
            </w:tcBorders>
          </w:tcPr>
          <w:p>
            <w:pPr>
              <w:spacing w:after="0"/>
              <w:rPr>
                <w:sz w:val="14"/>
                <w:szCs w:val="14"/>
                <w:color w:val="auto"/>
              </w:rPr>
            </w:pPr>
          </w:p>
        </w:tc>
      </w:tr>
      <w:tr>
        <w:trPr>
          <w:trHeight w:val="155"/>
        </w:trPr>
        <w:tc>
          <w:tcPr>
            <w:tcW w:w="774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(426,757)</w:t>
            </w:r>
          </w:p>
        </w:tc>
        <w:tc>
          <w:tcPr>
            <w:tcW w:w="2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(188,314)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6"/>
        </w:trPr>
        <w:tc>
          <w:tcPr>
            <w:tcW w:w="7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borrowings under revolving credit facility</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569,300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243,700</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Repayments of borrowings under revolving credit facility</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(453,300)</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(243,700)</w:t>
            </w: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convertible notes due 2025</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(113,405)</w:t>
            </w: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Proceeds from term loan</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Pr>
          <w:p>
            <w:pPr>
              <w:spacing w:after="0"/>
              <w:rPr>
                <w:sz w:val="14"/>
                <w:szCs w:val="14"/>
                <w:color w:val="auto"/>
              </w:rPr>
            </w:pP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Repayment of delayed draw term loan</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(350,000)</w:t>
            </w: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Payments for debt issuance costs</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(2,571)</w:t>
            </w: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Contributions by noncontrolling interests</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1,503</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(55,945)</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(62,827)</w:t>
            </w: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Repurchases of common stock</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(109,987)</w:t>
            </w:r>
          </w:p>
        </w:tc>
        <w:tc>
          <w:tcPr>
            <w:tcW w:w="10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(64,994)</w:t>
            </w: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Taxes paid on vested stock</w:t>
            </w:r>
          </w:p>
        </w:tc>
        <w:tc>
          <w:tcPr>
            <w:tcW w:w="100" w:type="dxa"/>
            <w:vAlign w:val="bottom"/>
          </w:tcPr>
          <w:p>
            <w:pPr>
              <w:spacing w:after="0"/>
              <w:rPr>
                <w:sz w:val="14"/>
                <w:szCs w:val="14"/>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(20,412)</w:t>
            </w:r>
          </w:p>
        </w:tc>
        <w:tc>
          <w:tcPr>
            <w:tcW w:w="10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(18,958)</w:t>
            </w:r>
          </w:p>
        </w:tc>
      </w:tr>
      <w:tr>
        <w:trPr>
          <w:trHeight w:val="162"/>
        </w:trPr>
        <w:tc>
          <w:tcPr>
            <w:tcW w:w="7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Redemption of warrants</w:t>
            </w:r>
          </w:p>
        </w:tc>
        <w:tc>
          <w:tcPr>
            <w:tcW w:w="100" w:type="dxa"/>
            <w:vAlign w:val="bottom"/>
            <w:shd w:val="clear" w:color="auto" w:fill="CFF0FC"/>
          </w:tcPr>
          <w:p>
            <w:pPr>
              <w:spacing w:after="0"/>
              <w:rPr>
                <w:sz w:val="14"/>
                <w:szCs w:val="14"/>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Proceeds from issuance of common stock</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5,700</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120" w:type="dxa"/>
            <w:vAlign w:val="bottom"/>
          </w:tcPr>
          <w:p>
            <w:pPr>
              <w:spacing w:after="0"/>
              <w:rPr>
                <w:sz w:val="14"/>
                <w:szCs w:val="14"/>
                <w:color w:val="auto"/>
              </w:rPr>
            </w:pPr>
          </w:p>
        </w:tc>
      </w:tr>
      <w:tr>
        <w:trPr>
          <w:trHeight w:val="155"/>
        </w:trPr>
        <w:tc>
          <w:tcPr>
            <w:tcW w:w="774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(64,144)</w:t>
            </w:r>
          </w:p>
        </w:tc>
        <w:tc>
          <w:tcPr>
            <w:tcW w:w="10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(156,456)</w:t>
            </w:r>
          </w:p>
        </w:tc>
      </w:tr>
      <w:tr>
        <w:trPr>
          <w:trHeight w:val="20"/>
        </w:trPr>
        <w:tc>
          <w:tcPr>
            <w:tcW w:w="7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55"/>
        </w:trPr>
        <w:tc>
          <w:tcPr>
            <w:tcW w:w="7740" w:type="dxa"/>
            <w:vAlign w:val="bottom"/>
          </w:tcPr>
          <w:p>
            <w:pPr>
              <w:ind w:left="300"/>
              <w:spacing w:after="0" w:line="155" w:lineRule="exact"/>
              <w:rPr>
                <w:sz w:val="20"/>
                <w:szCs w:val="20"/>
                <w:color w:val="auto"/>
              </w:rPr>
            </w:pPr>
            <w:r>
              <w:rPr>
                <w:rFonts w:ascii="Arial" w:cs="Arial" w:eastAsia="Arial" w:hAnsi="Arial"/>
                <w:sz w:val="14"/>
                <w:szCs w:val="14"/>
                <w:color w:val="auto"/>
              </w:rPr>
              <w:t>Effect of exchange rate changes</w:t>
            </w:r>
          </w:p>
        </w:tc>
        <w:tc>
          <w:tcPr>
            <w:tcW w:w="100" w:type="dxa"/>
            <w:vAlign w:val="bottom"/>
          </w:tcPr>
          <w:p>
            <w:pPr>
              <w:spacing w:after="0"/>
              <w:rPr>
                <w:sz w:val="13"/>
                <w:szCs w:val="13"/>
                <w:color w:val="auto"/>
              </w:rPr>
            </w:pPr>
          </w:p>
        </w:tc>
        <w:tc>
          <w:tcPr>
            <w:tcW w:w="17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(1,152)</w:t>
            </w:r>
          </w:p>
        </w:tc>
        <w:tc>
          <w:tcPr>
            <w:tcW w:w="10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2,912</w:t>
            </w:r>
          </w:p>
        </w:tc>
        <w:tc>
          <w:tcPr>
            <w:tcW w:w="120" w:type="dxa"/>
            <w:vAlign w:val="bottom"/>
          </w:tcPr>
          <w:p>
            <w:pPr>
              <w:spacing w:after="0"/>
              <w:rPr>
                <w:sz w:val="13"/>
                <w:szCs w:val="13"/>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774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0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rPr>
              <w:t>(169,434)</w:t>
            </w:r>
          </w:p>
        </w:tc>
        <w:tc>
          <w:tcPr>
            <w:tcW w:w="10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(30,994)</w:t>
            </w:r>
          </w:p>
        </w:tc>
      </w:tr>
      <w:tr>
        <w:trPr>
          <w:trHeight w:val="162"/>
        </w:trPr>
        <w:tc>
          <w:tcPr>
            <w:tcW w:w="7740" w:type="dxa"/>
            <w:vAlign w:val="bottom"/>
          </w:tcPr>
          <w:p>
            <w:pPr>
              <w:ind w:left="300"/>
              <w:spacing w:after="0"/>
              <w:rPr>
                <w:sz w:val="20"/>
                <w:szCs w:val="20"/>
                <w:color w:val="auto"/>
              </w:rPr>
            </w:pPr>
            <w:r>
              <w:rPr>
                <w:rFonts w:ascii="Arial" w:cs="Arial" w:eastAsia="Arial" w:hAnsi="Arial"/>
                <w:sz w:val="14"/>
                <w:szCs w:val="14"/>
                <w:color w:val="auto"/>
              </w:rPr>
              <w:t>Cash, cash equivalents and restricted cash:</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Beginning of year</w:t>
            </w: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466,388</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5"/>
        </w:trPr>
        <w:tc>
          <w:tcPr>
            <w:tcW w:w="7740" w:type="dxa"/>
            <w:vAlign w:val="bottom"/>
          </w:tcPr>
          <w:p>
            <w:pPr>
              <w:ind w:left="300"/>
              <w:spacing w:after="0" w:line="155" w:lineRule="exact"/>
              <w:rPr>
                <w:sz w:val="20"/>
                <w:szCs w:val="20"/>
                <w:color w:val="auto"/>
              </w:rPr>
            </w:pPr>
            <w:r>
              <w:rPr>
                <w:rFonts w:ascii="Arial" w:cs="Arial" w:eastAsia="Arial" w:hAnsi="Arial"/>
                <w:sz w:val="14"/>
                <w:szCs w:val="14"/>
                <w:color w:val="auto"/>
              </w:rPr>
              <w:t>End of period</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296,954</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422,554</w:t>
            </w:r>
          </w:p>
        </w:tc>
        <w:tc>
          <w:tcPr>
            <w:tcW w:w="120" w:type="dxa"/>
            <w:vAlign w:val="bottom"/>
          </w:tcPr>
          <w:p>
            <w:pPr>
              <w:spacing w:after="0"/>
              <w:rPr>
                <w:sz w:val="13"/>
                <w:szCs w:val="13"/>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-2862580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-2862580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-2146300</wp:posOffset>
            </wp:positionV>
            <wp:extent cx="9398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-2146300</wp:posOffset>
            </wp:positionV>
            <wp:extent cx="10287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September 30, 2026 and September 30, 2025</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3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6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Balances at June 30, 2026</w:t>
            </w:r>
          </w:p>
        </w:tc>
        <w:tc>
          <w:tcPr>
            <w:tcW w:w="16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145,506</w:t>
            </w:r>
          </w:p>
        </w:tc>
        <w:tc>
          <w:tcPr>
            <w:tcW w:w="2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CFF0FC"/>
            </w:tcBorders>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(793,002)</w:t>
            </w:r>
          </w:p>
        </w:tc>
        <w:tc>
          <w:tcPr>
            <w:tcW w:w="1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2,611,828</w:t>
            </w:r>
          </w:p>
        </w:tc>
        <w:tc>
          <w:tcPr>
            <w:tcW w:w="14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694,530</w:t>
            </w: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CFF0FC"/>
            </w:tcBorders>
            <w:gridSpan w:val="2"/>
            <w:shd w:val="clear" w:color="auto" w:fill="CFF0FC"/>
          </w:tcPr>
          <w:p>
            <w:pPr>
              <w:jc w:val="right"/>
              <w:ind w:right="180"/>
              <w:spacing w:after="0" w:line="149" w:lineRule="exact"/>
              <w:rPr>
                <w:sz w:val="20"/>
                <w:szCs w:val="20"/>
                <w:color w:val="auto"/>
              </w:rPr>
            </w:pPr>
            <w:r>
              <w:rPr>
                <w:rFonts w:ascii="Arial" w:cs="Arial" w:eastAsia="Arial" w:hAnsi="Arial"/>
                <w:sz w:val="14"/>
                <w:szCs w:val="14"/>
                <w:color w:val="auto"/>
              </w:rPr>
              <w:t>(27,443)</w:t>
            </w:r>
          </w:p>
        </w:tc>
        <w:tc>
          <w:tcPr>
            <w:tcW w:w="1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2,631,419</w:t>
            </w:r>
          </w:p>
        </w:tc>
        <w:tc>
          <w:tcPr>
            <w:tcW w:w="2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116,350</w:t>
            </w:r>
          </w:p>
        </w:tc>
        <w:tc>
          <w:tcPr>
            <w:tcW w:w="22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2,747,769</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Borders>
              <w:top w:val="single" w:sz="8" w:color="CFF0FC"/>
            </w:tcBorders>
          </w:tcPr>
          <w:p>
            <w:pPr>
              <w:ind w:left="40"/>
              <w:spacing w:after="0"/>
              <w:rPr>
                <w:sz w:val="20"/>
                <w:szCs w:val="20"/>
                <w:color w:val="auto"/>
              </w:rPr>
            </w:pPr>
            <w:r>
              <w:rPr>
                <w:rFonts w:ascii="Arial" w:cs="Arial" w:eastAsia="Arial" w:hAnsi="Arial"/>
                <w:sz w:val="14"/>
                <w:szCs w:val="14"/>
                <w:color w:val="auto"/>
              </w:rPr>
              <w:t>Net income</w:t>
            </w:r>
          </w:p>
        </w:tc>
        <w:tc>
          <w:tcPr>
            <w:tcW w:w="8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54,153</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54,153</w:t>
            </w:r>
          </w:p>
        </w:tc>
        <w:tc>
          <w:tcPr>
            <w:tcW w:w="2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13,258</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67,411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translation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net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(19,369)</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(19,369)</w:t>
            </w: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Issuance of 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Repurchases of common</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(58,705)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(60,000)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September</w:t>
            </w:r>
          </w:p>
        </w:tc>
        <w:tc>
          <w:tcPr>
            <w:tcW w:w="8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144,239</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(793,002)</w:t>
            </w:r>
          </w:p>
        </w:tc>
        <w:tc>
          <w:tcPr>
            <w:tcW w:w="2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2,564,768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748,805</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(27,162)</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2,637,648</w:t>
            </w:r>
          </w:p>
        </w:tc>
        <w:tc>
          <w:tcPr>
            <w:tcW w:w="22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110,509</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2,748,157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30, 2026</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Balances at June 30, 2025</w:t>
            </w:r>
          </w:p>
        </w:tc>
        <w:tc>
          <w:tcPr>
            <w:tcW w:w="1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146,676</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(815,282)</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2,660,579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541,965</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2,515,871</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105,740</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2,621,611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ind w:left="40"/>
              <w:spacing w:after="0"/>
              <w:rPr>
                <w:sz w:val="20"/>
                <w:szCs w:val="20"/>
                <w:color w:val="auto"/>
              </w:rPr>
            </w:pPr>
            <w:r>
              <w:rPr>
                <w:rFonts w:ascii="Arial" w:cs="Arial" w:eastAsia="Arial" w:hAnsi="Arial"/>
                <w:sz w:val="14"/>
                <w:szCs w:val="14"/>
                <w:color w:val="auto"/>
              </w:rPr>
              <w:t>Net income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64,123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64,123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17,671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40"/>
              <w:spacing w:after="0" w:line="153" w:lineRule="exact"/>
              <w:rPr>
                <w:sz w:val="20"/>
                <w:szCs w:val="20"/>
                <w:color w:val="auto"/>
              </w:rPr>
            </w:pPr>
            <w:r>
              <w:rPr>
                <w:rFonts w:ascii="Arial" w:cs="Arial" w:eastAsia="Arial" w:hAnsi="Arial"/>
                <w:sz w:val="14"/>
                <w:szCs w:val="14"/>
                <w:color w:val="auto"/>
              </w:rPr>
              <w:t>Foreign currency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40"/>
              <w:spacing w:after="0"/>
              <w:rPr>
                <w:sz w:val="20"/>
                <w:szCs w:val="20"/>
                <w:color w:val="auto"/>
              </w:rPr>
            </w:pPr>
            <w:r>
              <w:rPr>
                <w:rFonts w:ascii="Arial" w:cs="Arial" w:eastAsia="Arial" w:hAnsi="Arial"/>
                <w:sz w:val="14"/>
                <w:szCs w:val="14"/>
                <w:color w:val="auto"/>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120"/>
              <w:spacing w:after="0"/>
              <w:rPr>
                <w:sz w:val="20"/>
                <w:szCs w:val="20"/>
                <w:color w:val="auto"/>
              </w:rPr>
            </w:pPr>
            <w:r>
              <w:rPr>
                <w:rFonts w:ascii="Arial" w:cs="Arial" w:eastAsia="Arial" w:hAnsi="Arial"/>
                <w:sz w:val="14"/>
                <w:szCs w:val="14"/>
                <w:color w:val="auto"/>
              </w:rPr>
              <w:t>gain,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(4,940)</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(4,940)</w:t>
            </w:r>
          </w:p>
        </w:tc>
        <w:tc>
          <w:tcPr>
            <w:tcW w:w="1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(4,946)</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ind w:left="100"/>
              <w:spacing w:after="0" w:line="153" w:lineRule="exact"/>
              <w:rPr>
                <w:sz w:val="20"/>
                <w:szCs w:val="20"/>
                <w:color w:val="auto"/>
              </w:rPr>
            </w:pPr>
            <w:r>
              <w:rPr>
                <w:rFonts w:ascii="Arial" w:cs="Arial" w:eastAsia="Arial" w:hAnsi="Arial"/>
                <w:sz w:val="14"/>
                <w:szCs w:val="14"/>
                <w:color w:val="auto"/>
              </w:rPr>
              <w:t>Pension adjustments,</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(1,275)</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(17,771)</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(17,771)</w:t>
            </w:r>
          </w:p>
        </w:tc>
        <w:tc>
          <w:tcPr>
            <w:tcW w:w="0" w:type="dxa"/>
            <w:vAlign w:val="bottom"/>
          </w:tcPr>
          <w:p>
            <w:pPr>
              <w:spacing w:after="0"/>
              <w:rPr>
                <w:sz w:val="1"/>
                <w:szCs w:val="1"/>
                <w:color w:val="auto"/>
              </w:rPr>
            </w:pPr>
          </w:p>
        </w:tc>
      </w:tr>
      <w:tr>
        <w:trPr>
          <w:trHeight w:val="153"/>
        </w:trPr>
        <w:tc>
          <w:tcPr>
            <w:tcW w:w="1860" w:type="dxa"/>
            <w:vAlign w:val="bottom"/>
          </w:tcPr>
          <w:p>
            <w:pPr>
              <w:spacing w:after="0" w:line="153" w:lineRule="exact"/>
              <w:rPr>
                <w:sz w:val="20"/>
                <w:szCs w:val="20"/>
                <w:color w:val="auto"/>
              </w:rPr>
            </w:pPr>
            <w:r>
              <w:rPr>
                <w:rFonts w:ascii="Arial" w:cs="Arial" w:eastAsia="Arial" w:hAnsi="Arial"/>
                <w:sz w:val="14"/>
                <w:szCs w:val="14"/>
                <w:color w:val="auto"/>
              </w:rPr>
              <w:t>Issuance of 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securities,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60" w:type="dxa"/>
            <w:vAlign w:val="bottom"/>
          </w:tcPr>
          <w:p>
            <w:pPr>
              <w:ind w:left="80"/>
              <w:spacing w:after="0"/>
              <w:rPr>
                <w:sz w:val="20"/>
                <w:szCs w:val="20"/>
                <w:color w:val="auto"/>
              </w:rPr>
            </w:pPr>
            <w:r>
              <w:rPr>
                <w:rFonts w:ascii="Arial" w:cs="Arial" w:eastAsia="Arial" w:hAnsi="Arial"/>
                <w:sz w:val="14"/>
                <w:szCs w:val="14"/>
                <w:color w:val="auto"/>
              </w:rPr>
              <w:t>net of retirements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(749)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53"/>
        </w:trPr>
        <w:tc>
          <w:tcPr>
            <w:tcW w:w="186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Repurchases of common</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FF0FC"/>
          </w:tcPr>
          <w:p>
            <w:pPr>
              <w:spacing w:after="0"/>
              <w:rPr>
                <w:sz w:val="20"/>
                <w:szCs w:val="20"/>
                <w:color w:val="auto"/>
              </w:rPr>
            </w:pPr>
            <w:r>
              <w:rPr>
                <w:rFonts w:ascii="Arial" w:cs="Arial" w:eastAsia="Arial" w:hAnsi="Arial"/>
                <w:sz w:val="14"/>
                <w:szCs w:val="14"/>
                <w:color w:val="auto"/>
              </w:rPr>
              <w:t>stock</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(24,677)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(25,000)</w:t>
            </w: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6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September</w:t>
            </w:r>
          </w:p>
        </w:tc>
        <w:tc>
          <w:tcPr>
            <w:tcW w:w="8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146,369</w:t>
            </w:r>
          </w:p>
        </w:tc>
        <w:tc>
          <w:tcPr>
            <w:tcW w:w="24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(815,282)</w:t>
            </w:r>
          </w:p>
        </w:tc>
        <w:tc>
          <w:tcPr>
            <w:tcW w:w="2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2,645,230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605,795</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(24,282)</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2,557,830</w:t>
            </w:r>
          </w:p>
        </w:tc>
        <w:tc>
          <w:tcPr>
            <w:tcW w:w="22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106,810</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2,664,640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30, 2025</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-3471545</wp:posOffset>
            </wp:positionV>
            <wp:extent cx="768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-3471545</wp:posOffset>
            </wp:positionV>
            <wp:extent cx="768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2603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-3471545</wp:posOffset>
            </wp:positionV>
            <wp:extent cx="774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-3471545</wp:posOffset>
            </wp:positionV>
            <wp:extent cx="6858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-3471545</wp:posOffset>
            </wp:positionV>
            <wp:extent cx="6858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-3595370</wp:posOffset>
            </wp:positionV>
            <wp:extent cx="939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-3471545</wp:posOffset>
            </wp:positionV>
            <wp:extent cx="6858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-3471545</wp:posOffset>
            </wp:positionV>
            <wp:extent cx="6858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-2022475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-2005330</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-2022475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-2005330</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-2022475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-2005330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-2022475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-2005330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-2022475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-2005330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-2022475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-2005330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-2022475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-2005330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-8255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-8255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-8255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Nine Months Ended September 30, 2026 and September 30, 2025</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96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4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December 31,</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145,676</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(792,638</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2,648,730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661,173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(20,921)</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2,642,020</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125,652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tcBorders>
              <w:top w:val="single" w:sz="8" w:color="auto"/>
            </w:tcBorders>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2,767,672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40" w:type="dxa"/>
            <w:vAlign w:val="bottom"/>
            <w:tcBorders>
              <w:bottom w:val="single" w:sz="8" w:color="CFF0FC"/>
            </w:tcBorders>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80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vMerge w:val="continue"/>
            <w:shd w:val="clear" w:color="auto" w:fill="CFF0FC"/>
          </w:tcPr>
          <w:p>
            <w:pPr>
              <w:spacing w:after="0"/>
              <w:rPr>
                <w:sz w:val="13"/>
                <w:szCs w:val="13"/>
                <w:color w:val="auto"/>
              </w:rPr>
            </w:pPr>
          </w:p>
        </w:tc>
        <w:tc>
          <w:tcPr>
            <w:tcW w:w="108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11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vMerge w:val="continue"/>
            <w:shd w:val="clear" w:color="auto" w:fill="CFF0FC"/>
          </w:tcPr>
          <w:p>
            <w:pPr>
              <w:spacing w:after="0"/>
              <w:rPr>
                <w:sz w:val="13"/>
                <w:szCs w:val="13"/>
                <w:color w:val="auto"/>
              </w:rPr>
            </w:pPr>
          </w:p>
        </w:tc>
        <w:tc>
          <w:tcPr>
            <w:tcW w:w="7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91,860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91,860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40,297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132,157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net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(6,241)</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(6,241)</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color w:val="auto"/>
              </w:rPr>
              <w:t>Contributions of treasury stock</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Arial" w:cs="Arial" w:eastAsia="Arial" w:hAnsi="Arial"/>
                <w:sz w:val="14"/>
                <w:szCs w:val="14"/>
                <w:color w:val="auto"/>
              </w:rPr>
              <w:t>to ESOP</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Distributions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color w:val="auto"/>
              </w:rPr>
              <w:t>(55,945)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(55,945)</w:t>
            </w: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Repurchase of warrants</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(11,180)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(4,228)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(14,714)</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(14,714)</w:t>
            </w: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(2,163)</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(107,824)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(109,987)</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(109,987)</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34,713</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September 30,</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144,239</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(793,002</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2,564,768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748,805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(27,162)</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2,637,648</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110,509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2,748,157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2140" w:type="dxa"/>
            <w:vAlign w:val="bottom"/>
          </w:tcPr>
          <w:p>
            <w:pPr>
              <w:spacing w:after="0"/>
              <w:rPr>
                <w:sz w:val="20"/>
                <w:szCs w:val="20"/>
                <w:color w:val="auto"/>
              </w:rPr>
            </w:pPr>
            <w:r>
              <w:rPr>
                <w:rFonts w:ascii="Arial" w:cs="Arial" w:eastAsia="Arial" w:hAnsi="Arial"/>
                <w:sz w:val="14"/>
                <w:szCs w:val="14"/>
                <w:b w:val="1"/>
                <w:bCs w:val="1"/>
                <w:color w:val="auto"/>
              </w:rPr>
              <w:t>Balances at December 31,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146,655</w:t>
            </w:r>
          </w:p>
        </w:tc>
        <w:tc>
          <w:tcPr>
            <w:tcW w:w="22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(815,282)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2,684,829</w:t>
            </w:r>
          </w:p>
        </w:tc>
        <w:tc>
          <w:tcPr>
            <w:tcW w:w="14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426,781</w:t>
            </w:r>
          </w:p>
        </w:tc>
        <w:tc>
          <w:tcPr>
            <w:tcW w:w="140" w:type="dxa"/>
            <w:vAlign w:val="bottom"/>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(26,594)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2,416,389</w:t>
            </w:r>
          </w:p>
        </w:tc>
        <w:tc>
          <w:tcPr>
            <w:tcW w:w="220" w:type="dxa"/>
            <w:vAlign w:val="bottom"/>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118,100</w:t>
            </w:r>
          </w:p>
        </w:tc>
        <w:tc>
          <w:tcPr>
            <w:tcW w:w="140" w:type="dxa"/>
            <w:vAlign w:val="bottom"/>
          </w:tcPr>
          <w:p>
            <w:pPr>
              <w:spacing w:after="0"/>
              <w:rPr>
                <w:sz w:val="24"/>
                <w:szCs w:val="24"/>
                <w:color w:val="auto"/>
              </w:rPr>
            </w:pPr>
          </w:p>
        </w:tc>
        <w:tc>
          <w:tcPr>
            <w:tcW w:w="26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2,534,489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line="158" w:lineRule="exact"/>
              <w:rPr>
                <w:sz w:val="20"/>
                <w:szCs w:val="20"/>
                <w:color w:val="auto"/>
              </w:rPr>
            </w:pPr>
            <w:r>
              <w:rPr>
                <w:rFonts w:ascii="Arial" w:cs="Arial" w:eastAsia="Arial" w:hAnsi="Arial"/>
                <w:sz w:val="14"/>
                <w:szCs w:val="14"/>
                <w:b w:val="1"/>
                <w:bCs w:val="1"/>
                <w:color w:val="auto"/>
              </w:rPr>
              <w:t>2024</w:t>
            </w: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40" w:type="dxa"/>
            <w:vAlign w:val="bottom"/>
            <w:shd w:val="clear" w:color="auto" w:fill="CFF0FC"/>
          </w:tcPr>
          <w:p>
            <w:pPr>
              <w:ind w:left="40"/>
              <w:spacing w:after="0" w:line="155"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185,556</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185,556</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48,514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234,070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120"/>
              <w:spacing w:after="0"/>
              <w:rPr>
                <w:sz w:val="20"/>
                <w:szCs w:val="20"/>
                <w:color w:val="auto"/>
              </w:rPr>
            </w:pPr>
            <w:r>
              <w:rPr>
                <w:rFonts w:ascii="Arial" w:cs="Arial" w:eastAsia="Arial" w:hAnsi="Arial"/>
                <w:sz w:val="14"/>
                <w:szCs w:val="14"/>
                <w:color w:val="auto"/>
              </w:rPr>
              <w:t>gain, net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(1,206)</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Contributions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(62,825)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(62,825)</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40" w:type="dxa"/>
            <w:vAlign w:val="bottom"/>
          </w:tcPr>
          <w:p>
            <w:pPr>
              <w:ind w:left="80"/>
              <w:spacing w:after="0"/>
              <w:rPr>
                <w:sz w:val="20"/>
                <w:szCs w:val="20"/>
                <w:color w:val="auto"/>
              </w:rPr>
            </w:pPr>
            <w:r>
              <w:rPr>
                <w:rFonts w:ascii="Arial" w:cs="Arial" w:eastAsia="Arial" w:hAnsi="Arial"/>
                <w:sz w:val="14"/>
                <w:szCs w:val="14"/>
                <w:color w:val="auto"/>
              </w:rPr>
              <w:t>net of retirement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(8,297)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(6,542)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(14,159)</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(14,159)</w:t>
            </w:r>
          </w:p>
        </w:tc>
        <w:tc>
          <w:tcPr>
            <w:tcW w:w="0" w:type="dxa"/>
            <w:vAlign w:val="bottom"/>
          </w:tcPr>
          <w:p>
            <w:pPr>
              <w:spacing w:after="0"/>
              <w:rPr>
                <w:sz w:val="1"/>
                <w:szCs w:val="1"/>
                <w:color w:val="auto"/>
              </w:rPr>
            </w:pPr>
          </w:p>
        </w:tc>
      </w:tr>
      <w:tr>
        <w:trPr>
          <w:trHeight w:val="162"/>
        </w:trPr>
        <w:tc>
          <w:tcPr>
            <w:tcW w:w="214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(966)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(64,028)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(64,994)</w:t>
            </w: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(64,994)</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14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Balances at September 30,</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146,369</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(815,282</w:t>
            </w:r>
          </w:p>
        </w:tc>
        <w:tc>
          <w:tcPr>
            <w:tcW w:w="2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2,645,230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605,795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(24,282)</w:t>
            </w:r>
          </w:p>
        </w:tc>
        <w:tc>
          <w:tcPr>
            <w:tcW w:w="22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2,557,830</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106,810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2,664,640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Borders>
              <w:bottom w:val="single" w:sz="8" w:color="CFF0FC"/>
            </w:tcBorders>
            <w:shd w:val="clear" w:color="auto" w:fill="CFF0FC"/>
          </w:tcPr>
          <w:p>
            <w:pPr>
              <w:spacing w:after="0" w:line="125" w:lineRule="exact"/>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-3230880</wp:posOffset>
            </wp:positionV>
            <wp:extent cx="6858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-3230880</wp:posOffset>
            </wp:positionV>
            <wp:extent cx="6858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-3230880</wp:posOffset>
            </wp:positionV>
            <wp:extent cx="6858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-3230880</wp:posOffset>
            </wp:positionV>
            <wp:extent cx="6858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-3230880</wp:posOffset>
            </wp:positionV>
            <wp:extent cx="6858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-3230880</wp:posOffset>
            </wp:positionV>
            <wp:extent cx="6858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-3230880</wp:posOffset>
            </wp:positionV>
            <wp:extent cx="6858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-3230880</wp:posOffset>
            </wp:positionV>
            <wp:extent cx="774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2603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-1782445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-1765300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-1782445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-1765300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-1782445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-1765300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-1782445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-1765300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-1782445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-1765300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-1782445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-1765300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-1782445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-1765300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-1782445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80" w:firstLine="644"/>
        <w:spacing w:after="0" w:line="247"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solutions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7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2025.</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00" w:lineRule="exact"/>
        <w:rPr>
          <w:sz w:val="20"/>
          <w:szCs w:val="20"/>
          <w:color w:val="auto"/>
        </w:rPr>
      </w:pPr>
    </w:p>
    <w:p>
      <w:pPr>
        <w:spacing w:after="0" w:line="39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40" w:firstLine="636"/>
        <w:spacing w:after="0" w:line="242"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Disaggregation of Income Statement Expenses"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and this ASU should be applied prospectively; however, retrospective application is also permitted. The adoption of this ASU will not have a material impact on the Company's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60" w:firstLine="644"/>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color w:val="202124"/>
        </w:rPr>
        <w:t>n December 2023, the FASB issued ASU No. 2023-09, Income Taxes (Topic 740): Improvements to Income Tax Disclosures (“ASU</w:t>
      </w:r>
      <w:r>
        <w:rPr>
          <w:rFonts w:ascii="Arial" w:cs="Arial" w:eastAsia="Arial" w:hAnsi="Arial"/>
          <w:sz w:val="18"/>
          <w:szCs w:val="18"/>
          <w:color w:val="auto"/>
        </w:rPr>
        <w:t xml:space="preserve"> </w:t>
      </w:r>
      <w:r>
        <w:rPr>
          <w:rFonts w:ascii="Arial" w:cs="Arial" w:eastAsia="Arial" w:hAnsi="Arial"/>
          <w:sz w:val="18"/>
          <w:szCs w:val="18"/>
          <w:color w:val="202124"/>
        </w:rPr>
        <w:t>2023-09”), to improve the transparency of income tax disclosures. ASU 2023-09 requires a public 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This ASU was adopted in the fourth quarter of 2025, prospectively. The adoption of this ASU only impacted disclosures and did not have a material impact on the Company's consolidated financial statements.</w:t>
      </w:r>
    </w:p>
    <w:p>
      <w:pPr>
        <w:spacing w:after="0" w:line="200" w:lineRule="exact"/>
        <w:rPr>
          <w:sz w:val="20"/>
          <w:szCs w:val="20"/>
          <w:color w:val="auto"/>
        </w:rPr>
      </w:pPr>
    </w:p>
    <w:p>
      <w:pPr>
        <w:spacing w:after="0" w:line="39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202124"/>
        </w:rPr>
        <w:t>Altamira Technologies Corporation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202124"/>
        </w:rPr>
        <w:t xml:space="preserve">On January 14, 2026, the Company acquired a 100% ownership interest </w:t>
      </w:r>
      <w:r>
        <w:rPr>
          <w:rFonts w:ascii="Arial" w:cs="Arial" w:eastAsia="Arial" w:hAnsi="Arial"/>
          <w:sz w:val="18"/>
          <w:szCs w:val="18"/>
          <w:color w:val="000000"/>
        </w:rPr>
        <w:t>in Altamira Technologies Corporation ("ATC"), a privately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owned company, for approximately $339 million in cash and up to an additional $45 million in the event an earn out EBITDA target is</w:t>
      </w:r>
    </w:p>
    <w:p>
      <w:pPr>
        <w:spacing w:after="0" w:line="234" w:lineRule="auto"/>
        <w:rPr>
          <w:sz w:val="20"/>
          <w:szCs w:val="20"/>
          <w:color w:val="auto"/>
        </w:rPr>
      </w:pPr>
      <w:r>
        <w:rPr>
          <w:rFonts w:ascii="Arial" w:cs="Arial" w:eastAsia="Arial" w:hAnsi="Arial"/>
          <w:sz w:val="18"/>
          <w:szCs w:val="18"/>
          <w:color w:val="auto"/>
        </w:rPr>
        <w:t>exceeded. The Company borrowed $330.0 million under the Revolving Credit Facility (as defined in "Note 10</w:t>
      </w:r>
      <w:r>
        <w:rPr>
          <w:rFonts w:ascii="Arial" w:cs="Arial" w:eastAsia="Arial" w:hAnsi="Arial"/>
          <w:sz w:val="18"/>
          <w:szCs w:val="18"/>
          <w:color w:val="202124"/>
        </w:rPr>
        <w:t>—</w:t>
      </w:r>
      <w:r>
        <w:rPr>
          <w:rFonts w:ascii="Arial" w:cs="Arial" w:eastAsia="Arial" w:hAnsi="Arial"/>
          <w:sz w:val="18"/>
          <w:szCs w:val="18"/>
          <w:color w:val="auto"/>
        </w:rPr>
        <w:t>Debt and Credit Facilities") to</w:t>
      </w:r>
    </w:p>
    <w:p>
      <w:pPr>
        <w:spacing w:after="0" w:line="235" w:lineRule="auto"/>
        <w:rPr>
          <w:sz w:val="20"/>
          <w:szCs w:val="20"/>
          <w:color w:val="auto"/>
        </w:rPr>
      </w:pPr>
      <w:r>
        <w:rPr>
          <w:rFonts w:ascii="Arial" w:cs="Arial" w:eastAsia="Arial" w:hAnsi="Arial"/>
          <w:sz w:val="18"/>
          <w:szCs w:val="18"/>
          <w:color w:val="auto"/>
        </w:rPr>
        <w:t>fund the acquisition. Headquartered in McLean, Virginia, ATC enhances Parsons’ defense and intelligence portfolio by delivering advanced</w:t>
      </w:r>
    </w:p>
    <w:p>
      <w:pPr>
        <w:spacing w:after="0" w:line="235" w:lineRule="auto"/>
        <w:rPr>
          <w:sz w:val="20"/>
          <w:szCs w:val="20"/>
          <w:color w:val="auto"/>
        </w:rPr>
      </w:pPr>
      <w:r>
        <w:rPr>
          <w:rFonts w:ascii="Arial" w:cs="Arial" w:eastAsia="Arial" w:hAnsi="Arial"/>
          <w:sz w:val="18"/>
          <w:szCs w:val="18"/>
          <w:color w:val="auto"/>
        </w:rPr>
        <w:t>analytics, signals intelligence (SIGINT), cyber, missile warning, and space capabilities, complementing the Company’s strengths in</w:t>
      </w:r>
    </w:p>
    <w:p>
      <w:pPr>
        <w:spacing w:after="0" w:line="203" w:lineRule="exact"/>
        <w:rPr>
          <w:sz w:val="20"/>
          <w:szCs w:val="20"/>
          <w:color w:val="auto"/>
        </w:rPr>
      </w:pPr>
      <w:r>
        <w:rPr>
          <w:rFonts w:ascii="Arial" w:cs="Arial" w:eastAsia="Arial" w:hAnsi="Arial"/>
          <w:sz w:val="18"/>
          <w:szCs w:val="18"/>
          <w:color w:val="auto"/>
        </w:rPr>
        <w:t>all</w:t>
      </w:r>
      <w:r>
        <w:rPr>
          <w:rFonts w:ascii="MS PGothic" w:cs="MS PGothic" w:eastAsia="MS PGothic" w:hAnsi="MS PGothic"/>
          <w:sz w:val="18"/>
          <w:szCs w:val="18"/>
          <w:color w:val="auto"/>
        </w:rPr>
        <w:t>‑</w:t>
      </w:r>
      <w:r>
        <w:rPr>
          <w:rFonts w:ascii="Arial" w:cs="Arial" w:eastAsia="Arial" w:hAnsi="Arial"/>
          <w:sz w:val="18"/>
          <w:szCs w:val="18"/>
          <w:color w:val="auto"/>
        </w:rPr>
        <w:t>domain technology integration and Indo</w:t>
      </w:r>
      <w:r>
        <w:rPr>
          <w:rFonts w:ascii="MS PGothic" w:cs="MS PGothic" w:eastAsia="MS PGothic" w:hAnsi="MS PGothic"/>
          <w:sz w:val="18"/>
          <w:szCs w:val="18"/>
          <w:color w:val="auto"/>
        </w:rPr>
        <w:t>‑</w:t>
      </w:r>
      <w:r>
        <w:rPr>
          <w:rFonts w:ascii="Arial" w:cs="Arial" w:eastAsia="Arial" w:hAnsi="Arial"/>
          <w:sz w:val="18"/>
          <w:szCs w:val="18"/>
          <w:color w:val="auto"/>
        </w:rPr>
        <w:t>Pacific operations, and expanding with intelligence community (IC) customers. In connection with</w:t>
      </w:r>
    </w:p>
    <w:p>
      <w:pPr>
        <w:spacing w:after="0" w:line="235" w:lineRule="auto"/>
        <w:rPr>
          <w:sz w:val="20"/>
          <w:szCs w:val="20"/>
          <w:color w:val="auto"/>
        </w:rPr>
      </w:pPr>
      <w:r>
        <w:rPr>
          <w:rFonts w:ascii="Arial" w:cs="Arial" w:eastAsia="Arial" w:hAnsi="Arial"/>
          <w:sz w:val="18"/>
          <w:szCs w:val="18"/>
          <w:color w:val="auto"/>
        </w:rPr>
        <w:t xml:space="preserve">this acquisition, the Company recognized $5 million of acquisition-related expenses in “Selling, general and administrative </w:t>
      </w:r>
      <w:r>
        <w:rPr>
          <w:rFonts w:ascii="Arial" w:cs="Arial" w:eastAsia="Arial" w:hAnsi="Arial"/>
          <w:sz w:val="18"/>
          <w:szCs w:val="18"/>
          <w:color w:val="202124"/>
        </w:rPr>
        <w:t>expense” in the</w:t>
      </w:r>
    </w:p>
    <w:p>
      <w:pPr>
        <w:spacing w:after="0" w:line="234" w:lineRule="auto"/>
        <w:rPr>
          <w:sz w:val="20"/>
          <w:szCs w:val="20"/>
          <w:color w:val="auto"/>
        </w:rPr>
      </w:pPr>
      <w:r>
        <w:rPr>
          <w:rFonts w:ascii="Arial" w:cs="Arial" w:eastAsia="Arial" w:hAnsi="Arial"/>
          <w:sz w:val="18"/>
          <w:szCs w:val="18"/>
          <w:color w:val="202124"/>
        </w:rPr>
        <w:t>consolidated statements of income for the nine months ended September 30, 2026, including legal fees, consulting fees, and other</w:t>
      </w:r>
    </w:p>
    <w:p>
      <w:pPr>
        <w:spacing w:after="0" w:line="235" w:lineRule="auto"/>
        <w:rPr>
          <w:sz w:val="20"/>
          <w:szCs w:val="20"/>
          <w:color w:val="auto"/>
        </w:rPr>
      </w:pPr>
      <w:r>
        <w:rPr>
          <w:rFonts w:ascii="Arial" w:cs="Arial" w:eastAsia="Arial" w:hAnsi="Arial"/>
          <w:sz w:val="18"/>
          <w:szCs w:val="18"/>
          <w:color w:val="202124"/>
        </w:rPr>
        <w:t>miscellaneous direct expenses associated with the acquisition. No acquisition-related expenses were recognized for the three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02124"/>
        </w:rPr>
        <w:t>September 30, 2026.</w:t>
      </w:r>
    </w:p>
    <w:p>
      <w:pPr>
        <w:spacing w:after="0" w:line="194"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202124"/>
        </w:rPr>
        <w:t>The Company agreed to pay the selling shareholders up to an additional $45 million in the event an earn out EBITDA target is exceeded during the fiscal year ended December 31, 2026. In the event that the 2026 EBITDA is less than target, the earn out payment shall be zero. The fair value of the earn out (contingent consideration in the table below) was calculated using a Black-Scholes model. See "Note 16—Fair Value" for further information on how the fair value of contingent consideration is determined.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w:t>
            </w:r>
          </w:p>
        </w:tc>
        <w:tc>
          <w:tcPr>
            <w:tcW w:w="288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338,745</w:t>
            </w:r>
          </w:p>
        </w:tc>
        <w:tc>
          <w:tcPr>
            <w:tcW w:w="120" w:type="dxa"/>
            <w:vAlign w:val="bottom"/>
            <w:shd w:val="clear" w:color="auto" w:fill="CFF0FC"/>
          </w:tcPr>
          <w:p>
            <w:pPr>
              <w:spacing w:after="0"/>
              <w:rPr>
                <w:sz w:val="17"/>
                <w:szCs w:val="17"/>
                <w:color w:val="auto"/>
              </w:rPr>
            </w:pPr>
          </w:p>
        </w:tc>
      </w:tr>
      <w:tr>
        <w:trPr>
          <w:trHeight w:val="203"/>
        </w:trPr>
        <w:tc>
          <w:tcPr>
            <w:tcW w:w="6680" w:type="dxa"/>
            <w:vAlign w:val="bottom"/>
            <w:tcBorders>
              <w:bottom w:val="single" w:sz="8" w:color="CFF0FC"/>
            </w:tcBorders>
          </w:tcPr>
          <w:p>
            <w:pPr>
              <w:spacing w:after="0" w:line="202" w:lineRule="exact"/>
              <w:rPr>
                <w:sz w:val="20"/>
                <w:szCs w:val="20"/>
                <w:color w:val="auto"/>
              </w:rPr>
            </w:pPr>
            <w:r>
              <w:rPr>
                <w:rFonts w:ascii="Arial" w:cs="Arial" w:eastAsia="Arial" w:hAnsi="Arial"/>
                <w:sz w:val="18"/>
                <w:szCs w:val="18"/>
                <w:color w:val="auto"/>
              </w:rPr>
              <w:t>Fair value of contingent consideration to be achieved</w:t>
            </w:r>
          </w:p>
        </w:tc>
        <w:tc>
          <w:tcPr>
            <w:tcW w:w="246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11,387</w:t>
            </w:r>
          </w:p>
        </w:tc>
        <w:tc>
          <w:tcPr>
            <w:tcW w:w="120" w:type="dxa"/>
            <w:vAlign w:val="bottom"/>
            <w:tcBorders>
              <w:bottom w:val="single" w:sz="8" w:color="CFF0FC"/>
            </w:tcBorders>
          </w:tcPr>
          <w:p>
            <w:pPr>
              <w:spacing w:after="0"/>
              <w:rPr>
                <w:sz w:val="17"/>
                <w:szCs w:val="17"/>
                <w:color w:val="auto"/>
              </w:rPr>
            </w:pPr>
          </w:p>
        </w:tc>
      </w:tr>
      <w:tr>
        <w:trPr>
          <w:trHeight w:val="236"/>
        </w:trPr>
        <w:tc>
          <w:tcPr>
            <w:tcW w:w="66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purchase price</w:t>
            </w:r>
          </w:p>
        </w:tc>
        <w:tc>
          <w:tcPr>
            <w:tcW w:w="24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350,132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right="380" w:firstLine="644"/>
        <w:spacing w:after="0" w:line="253" w:lineRule="auto"/>
        <w:rPr>
          <w:sz w:val="20"/>
          <w:szCs w:val="20"/>
          <w:color w:val="auto"/>
        </w:rPr>
      </w:pPr>
      <w:r>
        <w:rPr>
          <w:rFonts w:ascii="Arial" w:cs="Arial" w:eastAsia="Arial" w:hAnsi="Arial"/>
          <w:sz w:val="18"/>
          <w:szCs w:val="18"/>
          <w:color w:val="202124"/>
        </w:rPr>
        <w:t>The estimated fair value of the ATC contingent consideration as of September 30, 2026 is $14.2 million, a $13.3 million and $2.8 million increase from the quarter ended June 30, 2026 and acquisition date, respectively. The change in the estimated fair value was recorded to "selling, general and administrative expenses" in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80" w:firstLine="644"/>
        <w:spacing w:after="0" w:line="271" w:lineRule="auto"/>
        <w:rPr>
          <w:sz w:val="20"/>
          <w:szCs w:val="20"/>
          <w:color w:val="auto"/>
        </w:rPr>
      </w:pPr>
      <w:r>
        <w:rPr>
          <w:rFonts w:ascii="Arial" w:cs="Arial" w:eastAsia="Arial" w:hAnsi="Arial"/>
          <w:sz w:val="18"/>
          <w:szCs w:val="18"/>
          <w:color w:val="202124"/>
        </w:rPr>
        <w:t>The following table summarizes the estimated fair values of the assets acquired and liabilities assumed based on the purchase price allocation as of the date of acquisition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6,918</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20,443</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12,066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20,927</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3,556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236,501</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105,800</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(4,634)</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(1,989)</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(7,288)</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(1,073)</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(1,139)</w:t>
            </w:r>
          </w:p>
        </w:tc>
      </w:tr>
      <w:tr>
        <w:trPr>
          <w:trHeight w:val="202"/>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(18,937)</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 liabilities, net</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(21,460)</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(920)</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350,132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Non-compete agreements</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w:t>
            </w:r>
          </w:p>
        </w:tc>
      </w:tr>
    </w:tbl>
    <w:p>
      <w:pPr>
        <w:spacing w:after="0" w:line="161" w:lineRule="exact"/>
        <w:rPr>
          <w:sz w:val="20"/>
          <w:szCs w:val="20"/>
          <w:color w:val="auto"/>
        </w:rPr>
      </w:pPr>
    </w:p>
    <w:p>
      <w:pPr>
        <w:ind w:right="80" w:firstLine="644"/>
        <w:spacing w:after="0" w:line="253" w:lineRule="auto"/>
        <w:rPr>
          <w:sz w:val="20"/>
          <w:szCs w:val="20"/>
          <w:color w:val="auto"/>
        </w:rPr>
      </w:pPr>
      <w:r>
        <w:rPr>
          <w:rFonts w:ascii="Arial" w:cs="Arial" w:eastAsia="Arial" w:hAnsi="Arial"/>
          <w:sz w:val="18"/>
          <w:szCs w:val="18"/>
          <w:color w:val="auto"/>
        </w:rPr>
        <w:t xml:space="preserve">Amortization expense of $6.0 million and $18.1 million related to these intangible assets was recorded for the three </w:t>
      </w:r>
      <w:r>
        <w:rPr>
          <w:rFonts w:ascii="Arial" w:cs="Arial" w:eastAsia="Arial" w:hAnsi="Arial"/>
          <w:sz w:val="18"/>
          <w:szCs w:val="18"/>
          <w:color w:val="202124"/>
        </w:rPr>
        <w:t>and nine</w:t>
      </w:r>
      <w:r>
        <w:rPr>
          <w:rFonts w:ascii="Arial" w:cs="Arial" w:eastAsia="Arial" w:hAnsi="Arial"/>
          <w:sz w:val="18"/>
          <w:szCs w:val="18"/>
          <w:color w:val="auto"/>
        </w:rPr>
        <w:t xml:space="preserve"> months ended September 30, 2026, respectively. The entire value of goodwill was assigned to the Federal Solutions reporting unit and represents synergies expected to be realized from this business combination. $2.2 million of goodwill is deductible for tax purposes.</w:t>
      </w:r>
    </w:p>
    <w:p>
      <w:pPr>
        <w:spacing w:after="0" w:line="169"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 xml:space="preserve">The amount of revenue generated by ATC and included within consolidated revenue is $53.6 million and $143.8 million for the three and </w:t>
      </w:r>
      <w:r>
        <w:rPr>
          <w:rFonts w:ascii="Arial" w:cs="Arial" w:eastAsia="Arial" w:hAnsi="Arial"/>
          <w:sz w:val="18"/>
          <w:szCs w:val="18"/>
          <w:color w:val="202124"/>
        </w:rPr>
        <w:t>nine</w:t>
      </w:r>
      <w:r>
        <w:rPr>
          <w:rFonts w:ascii="Arial" w:cs="Arial" w:eastAsia="Arial" w:hAnsi="Arial"/>
          <w:sz w:val="18"/>
          <w:szCs w:val="18"/>
          <w:color w:val="auto"/>
        </w:rPr>
        <w:t xml:space="preserve"> months ended September 30, 2026, respectively.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60" w:firstLine="644"/>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ATC acquisition had been consummated as of the beginning of fiscal year 2025 (in thousands)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5"/>
          </w:tcPr>
          <w:p>
            <w:pPr>
              <w:ind w:left="94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4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September 30, 2026</w:t>
            </w: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r>
      <w:tr>
        <w:trPr>
          <w:trHeight w:val="19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7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1,654,670</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4,723,568</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4,862,073</w:t>
            </w:r>
          </w:p>
        </w:tc>
        <w:tc>
          <w:tcPr>
            <w:tcW w:w="100" w:type="dxa"/>
            <w:vAlign w:val="bottom"/>
            <w:shd w:val="clear" w:color="auto" w:fill="CFF0FC"/>
          </w:tcPr>
          <w:p>
            <w:pPr>
              <w:spacing w:after="0"/>
              <w:rPr>
                <w:sz w:val="17"/>
                <w:szCs w:val="17"/>
                <w:color w:val="auto"/>
              </w:rPr>
            </w:pPr>
          </w:p>
        </w:tc>
      </w:tr>
      <w:tr>
        <w:trPr>
          <w:trHeight w:val="247"/>
        </w:trPr>
        <w:tc>
          <w:tcPr>
            <w:tcW w:w="498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72,422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141,821</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204,437</w:t>
            </w:r>
          </w:p>
        </w:tc>
        <w:tc>
          <w:tcPr>
            <w:tcW w:w="100" w:type="dxa"/>
            <w:vAlign w:val="bottom"/>
          </w:tcPr>
          <w:p>
            <w:pPr>
              <w:spacing w:after="0"/>
              <w:rPr>
                <w:sz w:val="21"/>
                <w:szCs w:val="21"/>
                <w:color w:val="auto"/>
              </w:rPr>
            </w:pPr>
          </w:p>
        </w:tc>
      </w:tr>
      <w:tr>
        <w:trPr>
          <w:trHeight w:val="634"/>
        </w:trPr>
        <w:tc>
          <w:tcPr>
            <w:tcW w:w="49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180" w:firstLine="644"/>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interest expense on acquired debt,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202124"/>
        </w:rPr>
        <w:t>Applied Sciences Consulting, Inc.</w:t>
      </w:r>
    </w:p>
    <w:p>
      <w:pPr>
        <w:spacing w:after="0" w:line="212" w:lineRule="exact"/>
        <w:rPr>
          <w:sz w:val="20"/>
          <w:szCs w:val="20"/>
          <w:color w:val="auto"/>
        </w:rPr>
      </w:pPr>
    </w:p>
    <w:p>
      <w:pPr>
        <w:ind w:right="140" w:firstLine="644"/>
        <w:spacing w:after="0"/>
        <w:rPr>
          <w:sz w:val="20"/>
          <w:szCs w:val="20"/>
          <w:color w:val="auto"/>
        </w:rPr>
      </w:pPr>
      <w:r>
        <w:rPr>
          <w:rFonts w:ascii="Arial" w:cs="Arial" w:eastAsia="Arial" w:hAnsi="Arial"/>
          <w:sz w:val="18"/>
          <w:szCs w:val="18"/>
          <w:color w:val="202124"/>
        </w:rPr>
        <w:t>On October 1, 2025, the Company acquired a 100% ownership interest in Applied Sciences Consulting, Inc. ("ASC"), a privately owned company, for $28.2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In connection with this acquisition, the Company recognized $0.5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160" w:type="dxa"/>
            <w:vAlign w:val="bottom"/>
            <w:gridSpan w:val="2"/>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1,210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586</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21,852</w:t>
            </w:r>
          </w:p>
        </w:tc>
        <w:tc>
          <w:tcPr>
            <w:tcW w:w="12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4,590</w:t>
            </w:r>
          </w:p>
        </w:tc>
        <w:tc>
          <w:tcPr>
            <w:tcW w:w="12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(557)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7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(398)</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2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(511)</w:t>
            </w:r>
          </w:p>
        </w:tc>
      </w:tr>
      <w:tr>
        <w:trPr>
          <w:trHeight w:val="236"/>
        </w:trPr>
        <w:tc>
          <w:tcPr>
            <w:tcW w:w="64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27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28,227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1140" w:type="dxa"/>
            <w:vAlign w:val="bottom"/>
          </w:tcPr>
          <w:p>
            <w:pPr>
              <w:jc w:val="center"/>
              <w:ind w:left="404"/>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620" w:type="dxa"/>
            <w:vAlign w:val="bottom"/>
          </w:tcPr>
          <w:p>
            <w:pPr>
              <w:spacing w:after="0"/>
              <w:rPr>
                <w:sz w:val="14"/>
                <w:szCs w:val="14"/>
                <w:color w:val="auto"/>
              </w:rPr>
            </w:pPr>
          </w:p>
        </w:tc>
        <w:tc>
          <w:tcPr>
            <w:tcW w:w="1140" w:type="dxa"/>
            <w:vAlign w:val="bottom"/>
          </w:tcPr>
          <w:p>
            <w:pPr>
              <w:jc w:val="center"/>
              <w:ind w:left="384"/>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620" w:type="dxa"/>
            <w:vAlign w:val="bottom"/>
          </w:tcPr>
          <w:p>
            <w:pPr>
              <w:spacing w:after="0"/>
              <w:rPr>
                <w:sz w:val="14"/>
                <w:szCs w:val="14"/>
                <w:color w:val="auto"/>
              </w:rPr>
            </w:pPr>
          </w:p>
        </w:tc>
        <w:tc>
          <w:tcPr>
            <w:tcW w:w="11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40" w:type="dxa"/>
            <w:vAlign w:val="bottom"/>
            <w:shd w:val="clear" w:color="auto" w:fill="CFF0FC"/>
          </w:tcPr>
          <w:p>
            <w:pPr>
              <w:jc w:val="right"/>
              <w:ind w:right="964"/>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2,460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1,840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7620" w:type="dxa"/>
            <w:vAlign w:val="bottom"/>
          </w:tcPr>
          <w:p>
            <w:pPr>
              <w:spacing w:after="0"/>
              <w:rPr>
                <w:sz w:val="20"/>
                <w:szCs w:val="20"/>
                <w:color w:val="auto"/>
              </w:rPr>
            </w:pPr>
            <w:r>
              <w:rPr>
                <w:rFonts w:ascii="Arial" w:cs="Arial" w:eastAsia="Arial" w:hAnsi="Arial"/>
                <w:sz w:val="18"/>
                <w:szCs w:val="18"/>
                <w:color w:val="auto"/>
              </w:rPr>
              <w:t>Trade name</w:t>
            </w:r>
          </w:p>
        </w:tc>
        <w:tc>
          <w:tcPr>
            <w:tcW w:w="1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Amortization expense of $0.4 million and $1.2 million related to these intangible assets was recorded for the three and nine months ended September 30, 2026, respectively. The entire value of goodwill was assigned to the Critical Infrastructure reporting unit and represents synergies expected to be realized from this business combination. The entire value of goodwill is deductible for tax purposes.</w:t>
      </w:r>
    </w:p>
    <w:p>
      <w:pPr>
        <w:spacing w:after="0" w:line="61"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 xml:space="preserve">The amount of revenue generated by ASC and included within consolidated revenue is $2.7 million and $8.4 million for the three and </w:t>
      </w:r>
      <w:r>
        <w:rPr>
          <w:rFonts w:ascii="Arial" w:cs="Arial" w:eastAsia="Arial" w:hAnsi="Arial"/>
          <w:sz w:val="18"/>
          <w:szCs w:val="18"/>
          <w:color w:val="202124"/>
        </w:rPr>
        <w:t xml:space="preserve">nine </w:t>
      </w:r>
      <w:r>
        <w:rPr>
          <w:rFonts w:ascii="Arial" w:cs="Arial" w:eastAsia="Arial" w:hAnsi="Arial"/>
          <w:sz w:val="18"/>
          <w:szCs w:val="18"/>
          <w:color w:val="000000"/>
        </w:rPr>
        <w:t>months ended September 30, 2026, respectively. The Company has determined that the presentation of net income from the date of</w:t>
      </w:r>
      <w:r>
        <w:rPr>
          <w:rFonts w:ascii="Arial" w:cs="Arial" w:eastAsia="Arial" w:hAnsi="Arial"/>
          <w:sz w:val="18"/>
          <w:szCs w:val="18"/>
          <w:color w:val="202124"/>
        </w:rPr>
        <w:t xml:space="preserve"> </w:t>
      </w:r>
      <w:r>
        <w:rPr>
          <w:rFonts w:ascii="Arial" w:cs="Arial" w:eastAsia="Arial" w:hAnsi="Arial"/>
          <w:sz w:val="18"/>
          <w:szCs w:val="18"/>
          <w:color w:val="000000"/>
        </w:rPr>
        <w:t>acquisition is impracticable due to the integration of general corporate functions upon acquisition.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140" w:firstLine="644"/>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ASC acquisition had been consummated as of the beginning of fiscal year 2024 (in thousands) is as follows:</w:t>
      </w:r>
    </w:p>
    <w:p>
      <w:pPr>
        <w:sectPr>
          <w:pgSz w:w="11900" w:h="16838" w:orient="portrait"/>
          <w:cols w:equalWidth="0" w:num="1">
            <w:col w:w="11240"/>
          </w:cols>
          <w:pgMar w:left="320" w:top="1201" w:right="339" w:bottom="1440" w:gutter="0" w:footer="0" w:header="0"/>
        </w:sectPr>
      </w:pPr>
    </w:p>
    <w:p>
      <w:pPr>
        <w:spacing w:after="0" w:line="150"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6350</wp:posOffset>
            </wp:positionV>
            <wp:extent cx="13373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September 30, 2025</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6350</wp:posOffset>
            </wp:positionV>
            <wp:extent cx="1448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September 30, 2025</w:t>
      </w:r>
    </w:p>
    <w:p>
      <w:pPr>
        <w:spacing w:after="0" w:line="20" w:lineRule="exact"/>
        <w:rPr>
          <w:sz w:val="20"/>
          <w:szCs w:val="20"/>
          <w:color w:val="auto"/>
        </w:rPr>
      </w:pPr>
    </w:p>
    <w:p>
      <w:pPr>
        <w:sectPr>
          <w:pgSz w:w="11900" w:h="16838" w:orient="portrait"/>
          <w:cols w:equalWidth="0" w:num="2">
            <w:col w:w="7980" w:space="720"/>
            <w:col w:w="2540"/>
          </w:cols>
          <w:pgMar w:left="320" w:top="1201" w:right="339" w:bottom="1440" w:gutter="0" w:footer="0" w:header="0"/>
          <w:type w:val="continuous"/>
        </w:sectPr>
      </w:pPr>
    </w:p>
    <w:tbl>
      <w:tblPr>
        <w:tblLayout w:type="fixed"/>
        <w:tblInd w:w="620" w:type="dxa"/>
        <w:tblCellMar>
          <w:top w:w="0" w:type="dxa"/>
          <w:left w:w="0" w:type="dxa"/>
          <w:bottom w:w="0" w:type="dxa"/>
          <w:right w:w="0" w:type="dxa"/>
        </w:tblCellMar>
      </w:tblP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492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Pro forma Revenue</w:t>
            </w:r>
          </w:p>
        </w:tc>
        <w:tc>
          <w:tcPr>
            <w:tcW w:w="5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10"/>
              <w:spacing w:after="0" w:line="17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1,624,632</w:t>
            </w:r>
          </w:p>
        </w:tc>
        <w:tc>
          <w:tcPr>
            <w:tcW w:w="980" w:type="dxa"/>
            <w:vAlign w:val="bottom"/>
            <w:gridSpan w:val="2"/>
            <w:shd w:val="clear" w:color="auto" w:fill="CFF0FC"/>
          </w:tcPr>
          <w:p>
            <w:pPr>
              <w:jc w:val="right"/>
              <w:ind w:right="600"/>
              <w:spacing w:after="0" w:line="17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4,767,679</w:t>
            </w:r>
          </w:p>
        </w:tc>
        <w:tc>
          <w:tcPr>
            <w:tcW w:w="100" w:type="dxa"/>
            <w:vAlign w:val="bottom"/>
            <w:shd w:val="clear" w:color="auto" w:fill="CFF0FC"/>
          </w:tcPr>
          <w:p>
            <w:pPr>
              <w:spacing w:after="0"/>
              <w:rPr>
                <w:sz w:val="15"/>
                <w:szCs w:val="15"/>
                <w:color w:val="auto"/>
              </w:rPr>
            </w:pPr>
          </w:p>
        </w:tc>
      </w:tr>
      <w:tr>
        <w:trPr>
          <w:trHeight w:val="239"/>
        </w:trPr>
        <w:tc>
          <w:tcPr>
            <w:tcW w:w="492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82,634</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235,709</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Chesapeake Technology International, Corp</w:t>
      </w:r>
    </w:p>
    <w:p>
      <w:pPr>
        <w:spacing w:after="0" w:line="212"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202124"/>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In connection with this acquisition, the Company recognized $2.2 million of acquisition-related expenses in “Selling, general and administrative expense” in the consolidated statements of income for the year ended December 31, 2025,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28,145</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4,256</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57,468</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34,820</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3,173</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(17,818)</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(7,471)</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(8,079)</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(5,446)</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(2,167)</w:t>
            </w:r>
          </w:p>
        </w:tc>
      </w:tr>
      <w:tr>
        <w:trPr>
          <w:trHeight w:val="202"/>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(3,979)</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91,534</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2"/>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20,690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8,010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3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3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2,460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292"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 xml:space="preserve">Amortization expense of $1.2 million and $3.9 million related to these intangible assets was recorded for the </w:t>
      </w:r>
      <w:r>
        <w:rPr>
          <w:rFonts w:ascii="Arial" w:cs="Arial" w:eastAsia="Arial" w:hAnsi="Arial"/>
          <w:sz w:val="18"/>
          <w:szCs w:val="18"/>
          <w:color w:val="202124"/>
        </w:rPr>
        <w:t>three and nine months</w:t>
      </w:r>
      <w:r>
        <w:rPr>
          <w:rFonts w:ascii="Arial" w:cs="Arial" w:eastAsia="Arial" w:hAnsi="Arial"/>
          <w:sz w:val="18"/>
          <w:szCs w:val="18"/>
          <w:color w:val="auto"/>
        </w:rPr>
        <w:t xml:space="preserve"> </w:t>
      </w:r>
      <w:r>
        <w:rPr>
          <w:rFonts w:ascii="Arial" w:cs="Arial" w:eastAsia="Arial" w:hAnsi="Arial"/>
          <w:sz w:val="18"/>
          <w:szCs w:val="18"/>
          <w:color w:val="202124"/>
        </w:rPr>
        <w:t xml:space="preserve">ended </w:t>
      </w:r>
      <w:r>
        <w:rPr>
          <w:rFonts w:ascii="Arial" w:cs="Arial" w:eastAsia="Arial" w:hAnsi="Arial"/>
          <w:sz w:val="18"/>
          <w:szCs w:val="18"/>
          <w:color w:val="000000"/>
        </w:rPr>
        <w:t>September 30, 2026, respectively</w:t>
      </w:r>
      <w:r>
        <w:rPr>
          <w:rFonts w:ascii="Arial" w:cs="Arial" w:eastAsia="Arial" w:hAnsi="Arial"/>
          <w:sz w:val="18"/>
          <w:szCs w:val="18"/>
          <w:color w:val="202124"/>
        </w:rPr>
        <w:t xml:space="preserve"> and $1.4 million for the three and nine months ended September 30, 2025. </w:t>
      </w:r>
      <w:r>
        <w:rPr>
          <w:rFonts w:ascii="Arial" w:cs="Arial" w:eastAsia="Arial" w:hAnsi="Arial"/>
          <w:sz w:val="18"/>
          <w:szCs w:val="18"/>
          <w:color w:val="000000"/>
        </w:rPr>
        <w:t>The entire value of</w:t>
      </w:r>
      <w:r>
        <w:rPr>
          <w:rFonts w:ascii="Arial" w:cs="Arial" w:eastAsia="Arial" w:hAnsi="Arial"/>
          <w:sz w:val="18"/>
          <w:szCs w:val="18"/>
          <w:color w:val="202124"/>
        </w:rPr>
        <w:t xml:space="preserve"> </w:t>
      </w:r>
      <w:r>
        <w:rPr>
          <w:rFonts w:ascii="Arial" w:cs="Arial" w:eastAsia="Arial" w:hAnsi="Arial"/>
          <w:sz w:val="18"/>
          <w:szCs w:val="18"/>
          <w:color w:val="000000"/>
        </w:rPr>
        <w:t>goodwill was assigned to the Federal Solutions reporting unit and represents synergies expected to be realized from this business combination. $8.8 million of goodwill is deductible for tax purposes.</w:t>
      </w:r>
    </w:p>
    <w:p>
      <w:pPr>
        <w:spacing w:after="0" w:line="66"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 xml:space="preserve">The amount of revenue generated by CTI and included within consolidated revenue is $19.2 million for the three and nine months </w:t>
      </w:r>
      <w:r>
        <w:rPr>
          <w:rFonts w:ascii="Arial" w:cs="Arial" w:eastAsia="Arial" w:hAnsi="Arial"/>
          <w:sz w:val="18"/>
          <w:szCs w:val="18"/>
          <w:color w:val="202124"/>
        </w:rPr>
        <w:t xml:space="preserve">ended September 30, 2025. </w:t>
      </w:r>
      <w:r>
        <w:rPr>
          <w:rFonts w:ascii="Arial" w:cs="Arial" w:eastAsia="Arial" w:hAnsi="Arial"/>
          <w:sz w:val="18"/>
          <w:szCs w:val="18"/>
          <w:color w:val="000000"/>
        </w:rPr>
        <w:t>The Company has determined that the presentation of net income from the date of acquisition is impracticable</w:t>
      </w:r>
      <w:r>
        <w:rPr>
          <w:rFonts w:ascii="Arial" w:cs="Arial" w:eastAsia="Arial" w:hAnsi="Arial"/>
          <w:sz w:val="18"/>
          <w:szCs w:val="18"/>
          <w:color w:val="202124"/>
        </w:rPr>
        <w:t xml:space="preserve"> </w:t>
      </w:r>
      <w:r>
        <w:rPr>
          <w:rFonts w:ascii="Arial" w:cs="Arial" w:eastAsia="Arial" w:hAnsi="Arial"/>
          <w:sz w:val="18"/>
          <w:szCs w:val="18"/>
          <w:color w:val="000000"/>
        </w:rPr>
        <w:t>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CTI acquisition had been consummated as of the beginning of fiscal year 2024 (in thousands) is as follows: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73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r>
      <w:tr>
        <w:trPr>
          <w:trHeight w:val="196"/>
        </w:trPr>
        <w:tc>
          <w:tcPr>
            <w:tcW w:w="7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4,815,991</w:t>
            </w:r>
          </w:p>
        </w:tc>
        <w:tc>
          <w:tcPr>
            <w:tcW w:w="100" w:type="dxa"/>
            <w:vAlign w:val="bottom"/>
            <w:shd w:val="clear" w:color="auto" w:fill="CFF0FC"/>
          </w:tcPr>
          <w:p>
            <w:pPr>
              <w:spacing w:after="0"/>
              <w:rPr>
                <w:sz w:val="17"/>
                <w:szCs w:val="17"/>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236,520</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was paid in July 2026). TRS is an environmental solutions firm that specializes in remediation technology. In connection with this acquisition, the Company recognized $0.5 million of acquisition-related expenses in “Selling, general and administrative expense” in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4" w:name="page15"/>
    <w:bookmarkEnd w:id="14"/>
    <w:p>
      <w:pPr>
        <w:ind w:right="340"/>
        <w:spacing w:after="0" w:line="271" w:lineRule="auto"/>
        <w:rPr>
          <w:sz w:val="20"/>
          <w:szCs w:val="20"/>
          <w:color w:val="auto"/>
        </w:rPr>
      </w:pPr>
      <w:r>
        <w:rPr>
          <w:rFonts w:ascii="Arial" w:cs="Arial" w:eastAsia="Arial" w:hAnsi="Arial"/>
          <w:sz w:val="18"/>
          <w:szCs w:val="18"/>
          <w:color w:val="202124"/>
        </w:rPr>
        <w:t>consolidated statements of income for the year ended December 31, 2025, including legal fees, consulting fees, and other miscellaneous direct expenses associated with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 xml:space="preserve">The following table summarizes the acquisition date fair value of the purchase consideration transferred (in </w:t>
      </w:r>
      <w:r>
        <w:rPr>
          <w:rFonts w:ascii="Arial" w:cs="Arial" w:eastAsia="Arial" w:hAnsi="Arial"/>
          <w:sz w:val="18"/>
          <w:szCs w:val="18"/>
          <w:color w:val="000000"/>
        </w:rPr>
        <w:t>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180" w:type="dxa"/>
            <w:vAlign w:val="bottom"/>
          </w:tcPr>
          <w:p>
            <w:pPr>
              <w:jc w:val="center"/>
              <w:ind w:left="421"/>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18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Developed technologies</w:t>
            </w:r>
          </w:p>
        </w:tc>
        <w:tc>
          <w:tcPr>
            <w:tcW w:w="11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7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1180" w:type="dxa"/>
            <w:vAlign w:val="bottom"/>
            <w:shd w:val="clear" w:color="auto" w:fill="CFF0FC"/>
          </w:tcPr>
          <w:p>
            <w:pPr>
              <w:jc w:val="right"/>
              <w:ind w:right="1001"/>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 xml:space="preserve">Amortization expense of $0.4 million and $1.1 million related to these intangible assets was recorded for the </w:t>
      </w:r>
      <w:r>
        <w:rPr>
          <w:rFonts w:ascii="Arial" w:cs="Arial" w:eastAsia="Arial" w:hAnsi="Arial"/>
          <w:sz w:val="18"/>
          <w:szCs w:val="18"/>
          <w:color w:val="202124"/>
        </w:rPr>
        <w:t>three and nine months</w:t>
      </w:r>
      <w:r>
        <w:rPr>
          <w:rFonts w:ascii="Arial" w:cs="Arial" w:eastAsia="Arial" w:hAnsi="Arial"/>
          <w:sz w:val="18"/>
          <w:szCs w:val="18"/>
          <w:color w:val="auto"/>
        </w:rPr>
        <w:t xml:space="preserve"> </w:t>
      </w:r>
      <w:r>
        <w:rPr>
          <w:rFonts w:ascii="Arial" w:cs="Arial" w:eastAsia="Arial" w:hAnsi="Arial"/>
          <w:sz w:val="18"/>
          <w:szCs w:val="18"/>
          <w:color w:val="202124"/>
        </w:rPr>
        <w:t>ended September 30, 2026, respectively and $0.4 million and $1.1 million for the three and nine months ended September 30, 2025, respectively</w:t>
      </w:r>
      <w:r>
        <w:rPr>
          <w:rFonts w:ascii="Arial" w:cs="Arial" w:eastAsia="Arial" w:hAnsi="Arial"/>
          <w:sz w:val="18"/>
          <w:szCs w:val="18"/>
          <w:color w:val="000000"/>
        </w:rPr>
        <w:t>. The entire value of goodwill was assigned to the Critical Infrastructure reporting unit and represents synergies expected to be</w:t>
      </w:r>
      <w:r>
        <w:rPr>
          <w:rFonts w:ascii="Arial" w:cs="Arial" w:eastAsia="Arial" w:hAnsi="Arial"/>
          <w:sz w:val="18"/>
          <w:szCs w:val="18"/>
          <w:color w:val="202124"/>
        </w:rPr>
        <w:t xml:space="preserve"> </w:t>
      </w:r>
      <w:r>
        <w:rPr>
          <w:rFonts w:ascii="Arial" w:cs="Arial" w:eastAsia="Arial" w:hAnsi="Arial"/>
          <w:sz w:val="18"/>
          <w:szCs w:val="18"/>
          <w:color w:val="000000"/>
        </w:rPr>
        <w:t>realized from this business combination. The entire value of goodwill is deductible for tax purposes.</w:t>
      </w:r>
    </w:p>
    <w:p>
      <w:pPr>
        <w:spacing w:after="0" w:line="17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 xml:space="preserve">The amount of revenue generated by TRS and included within consolidated revenue is $7.6 million and $19.0 million for the three and nine months </w:t>
      </w:r>
      <w:r>
        <w:rPr>
          <w:rFonts w:ascii="Arial" w:cs="Arial" w:eastAsia="Arial" w:hAnsi="Arial"/>
          <w:sz w:val="18"/>
          <w:szCs w:val="18"/>
          <w:color w:val="202124"/>
        </w:rPr>
        <w:t>ended September 30, 2025, respectively</w:t>
      </w:r>
      <w:r>
        <w:rPr>
          <w:rFonts w:ascii="Arial" w:cs="Arial" w:eastAsia="Arial" w:hAnsi="Arial"/>
          <w:sz w:val="18"/>
          <w:szCs w:val="18"/>
          <w:color w:val="auto"/>
        </w:rPr>
        <w:t>.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15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2"/>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55"/>
        </w:trPr>
        <w:tc>
          <w:tcPr>
            <w:tcW w:w="73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r>
      <w:tr>
        <w:trPr>
          <w:trHeight w:val="196"/>
        </w:trPr>
        <w:tc>
          <w:tcPr>
            <w:tcW w:w="7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4,762,454</w:t>
            </w:r>
          </w:p>
        </w:tc>
        <w:tc>
          <w:tcPr>
            <w:tcW w:w="100" w:type="dxa"/>
            <w:vAlign w:val="bottom"/>
            <w:shd w:val="clear" w:color="auto" w:fill="CFF0FC"/>
          </w:tcPr>
          <w:p>
            <w:pPr>
              <w:spacing w:after="0"/>
              <w:rPr>
                <w:sz w:val="17"/>
                <w:szCs w:val="17"/>
                <w:color w:val="auto"/>
              </w:rPr>
            </w:pP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34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234,856</w:t>
            </w:r>
          </w:p>
        </w:tc>
        <w:tc>
          <w:tcPr>
            <w:tcW w:w="100" w:type="dxa"/>
            <w:vAlign w:val="bottom"/>
          </w:tcPr>
          <w:p>
            <w:pPr>
              <w:spacing w:after="0"/>
              <w:rPr>
                <w:sz w:val="20"/>
                <w:szCs w:val="20"/>
                <w:color w:val="auto"/>
              </w:rPr>
            </w:pPr>
          </w:p>
        </w:tc>
      </w:tr>
    </w:tbl>
    <w:p>
      <w:pPr>
        <w:spacing w:after="0" w:line="16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which are reflected in the earliest period presented. This supplemental pro forma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340"/>
        <w:spacing w:after="0" w:line="271" w:lineRule="auto"/>
        <w:rPr>
          <w:sz w:val="20"/>
          <w:szCs w:val="20"/>
          <w:color w:val="auto"/>
        </w:rPr>
      </w:pPr>
      <w:r>
        <w:rPr>
          <w:rFonts w:ascii="Arial" w:cs="Arial" w:eastAsia="Arial" w:hAnsi="Arial"/>
          <w:sz w:val="18"/>
          <w:szCs w:val="18"/>
          <w:color w:val="auto"/>
        </w:rPr>
        <w:t>has been prepared for comparative purposes and does not purport to be indicative of what would have occurred had the acquisition been consummated during the periods for which pro forma information is presented.</w:t>
      </w:r>
    </w:p>
    <w:p>
      <w:pPr>
        <w:spacing w:after="0" w:line="356"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9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r>
      <w:tr>
        <w:trPr>
          <w:trHeight w:val="209"/>
        </w:trPr>
        <w:tc>
          <w:tcPr>
            <w:tcW w:w="4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8"/>
                <w:szCs w:val="18"/>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468,112</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535,901</w:t>
            </w: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1,407,486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1,642,609</w:t>
            </w:r>
          </w:p>
        </w:tc>
        <w:tc>
          <w:tcPr>
            <w:tcW w:w="100" w:type="dxa"/>
            <w:vAlign w:val="bottom"/>
            <w:shd w:val="clear" w:color="auto" w:fill="CFF0FC"/>
          </w:tcPr>
          <w:p>
            <w:pPr>
              <w:spacing w:after="0"/>
              <w:rPr>
                <w:sz w:val="17"/>
                <w:szCs w:val="17"/>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2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411,096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394,076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1,184,521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1,114,111</w:t>
            </w:r>
          </w:p>
        </w:tc>
        <w:tc>
          <w:tcPr>
            <w:tcW w:w="100" w:type="dxa"/>
            <w:vAlign w:val="bottom"/>
          </w:tcPr>
          <w:p>
            <w:pPr>
              <w:spacing w:after="0"/>
              <w:rPr>
                <w:sz w:val="17"/>
                <w:szCs w:val="17"/>
                <w:color w:val="auto"/>
              </w:rPr>
            </w:pPr>
          </w:p>
        </w:tc>
      </w:tr>
      <w:tr>
        <w:trPr>
          <w:trHeight w:val="203"/>
        </w:trPr>
        <w:tc>
          <w:tcPr>
            <w:tcW w:w="40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771,340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691,771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2,125,584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2,003,711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080" w:type="dxa"/>
            <w:vAlign w:val="bottom"/>
          </w:tcPr>
          <w:p>
            <w:pPr>
              <w:ind w:left="10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1,650,548</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1,621,748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4,717,591</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-145415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-145415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-145415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each of our segments.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September 30, 2026 and December 31, 2025 were as follows (in thousands):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 (1)</w:t>
            </w:r>
          </w:p>
        </w:tc>
        <w:tc>
          <w:tcPr>
            <w:tcW w:w="1260" w:type="dxa"/>
            <w:vAlign w:val="bottom"/>
            <w:gridSpan w:val="2"/>
            <w:shd w:val="clear" w:color="auto" w:fill="CFF0FC"/>
          </w:tcPr>
          <w:p>
            <w:pPr>
              <w:jc w:val="right"/>
              <w:ind w:right="30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970,128</w:t>
            </w:r>
          </w:p>
        </w:tc>
        <w:tc>
          <w:tcPr>
            <w:tcW w:w="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915,806</w:t>
            </w:r>
          </w:p>
        </w:tc>
        <w:tc>
          <w:tcPr>
            <w:tcW w:w="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54,322</w:t>
            </w:r>
          </w:p>
        </w:tc>
        <w:tc>
          <w:tcPr>
            <w:tcW w:w="18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tcPr>
          <w:p>
            <w:pPr>
              <w:spacing w:after="0" w:line="202" w:lineRule="exact"/>
              <w:rPr>
                <w:sz w:val="20"/>
                <w:szCs w:val="20"/>
                <w:color w:val="auto"/>
              </w:rPr>
            </w:pPr>
            <w:r>
              <w:rPr>
                <w:rFonts w:ascii="Arial" w:cs="Arial" w:eastAsia="Arial" w:hAnsi="Arial"/>
                <w:sz w:val="18"/>
                <w:szCs w:val="18"/>
                <w:color w:val="auto"/>
              </w:rPr>
              <w:t>Contract liabilities (2)</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365,829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340,113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25,716</w:t>
            </w:r>
          </w:p>
        </w:tc>
        <w:tc>
          <w:tcPr>
            <w:tcW w:w="22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contract assets (liabilities) (3)</w:t>
            </w:r>
          </w:p>
        </w:tc>
        <w:tc>
          <w:tcPr>
            <w:tcW w:w="1260" w:type="dxa"/>
            <w:vAlign w:val="bottom"/>
            <w:gridSpan w:val="2"/>
            <w:shd w:val="clear" w:color="auto" w:fill="CFF0FC"/>
          </w:tcPr>
          <w:p>
            <w:pPr>
              <w:jc w:val="right"/>
              <w:ind w:right="30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604,299</w:t>
            </w:r>
          </w:p>
        </w:tc>
        <w:tc>
          <w:tcPr>
            <w:tcW w:w="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575,693</w:t>
            </w:r>
          </w:p>
        </w:tc>
        <w:tc>
          <w:tcPr>
            <w:tcW w:w="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28,606</w:t>
            </w:r>
          </w:p>
        </w:tc>
        <w:tc>
          <w:tcPr>
            <w:tcW w:w="18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111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111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4" w:lineRule="exact"/>
        <w:rPr>
          <w:sz w:val="20"/>
          <w:szCs w:val="20"/>
          <w:color w:val="auto"/>
        </w:rPr>
      </w:pPr>
    </w:p>
    <w:p>
      <w:pPr>
        <w:ind w:left="660" w:right="300" w:hanging="652"/>
        <w:spacing w:after="0" w:line="24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assets includes $18.6 million and $0.0 million of assets held for sale as of September 30, 2026 and December 31, 2025, respectively, and is reported in assets held for sale on the consolidated balance sheets. Refer to contracts held for sale section below.</w:t>
      </w:r>
    </w:p>
    <w:p>
      <w:pPr>
        <w:spacing w:after="0" w:line="1" w:lineRule="exact"/>
        <w:rPr>
          <w:rFonts w:ascii="Arial" w:cs="Arial" w:eastAsia="Arial" w:hAnsi="Arial"/>
          <w:sz w:val="18"/>
          <w:szCs w:val="18"/>
          <w:color w:val="auto"/>
        </w:rPr>
      </w:pPr>
    </w:p>
    <w:p>
      <w:pPr>
        <w:jc w:val="both"/>
        <w:ind w:left="660" w:right="460" w:hanging="652"/>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liabilities includes $57.4 million and $0.0 million of liabilities held for sale as of September 30, 2026 and December 31, 2025, respectively, and is reported in liabilities held for sale on the consolidated balance sheets. Refer to contracts held for sale section below.</w:t>
      </w:r>
    </w:p>
    <w:p>
      <w:pPr>
        <w:spacing w:after="0" w:line="2" w:lineRule="exact"/>
        <w:rPr>
          <w:rFonts w:ascii="Arial" w:cs="Arial" w:eastAsia="Arial" w:hAnsi="Arial"/>
          <w:sz w:val="18"/>
          <w:szCs w:val="18"/>
          <w:color w:val="auto"/>
        </w:rPr>
      </w:pPr>
    </w:p>
    <w:p>
      <w:pPr>
        <w:ind w:left="660" w:right="40" w:hanging="652"/>
        <w:spacing w:after="0" w:line="23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$110.2 million as of September 30, 2026, of which $53.5 million are not expected to be paid in the next 12 months. Total contract retentions included in net contract assets (liabilities) were $114.6 million as of December 31, 2025. Contract assets as of September 30, 2026 and December 31, 2025 include $58.9 million and $58.9 million, respectively, related to net claim recoveries. For the three and nine months ended September 30, 2026 and September 30, 2025, there were no material losses recognized related to the collectability of claims, unapproved change orders, and requests for equitable adjustment.</w:t>
      </w:r>
    </w:p>
    <w:p>
      <w:pPr>
        <w:spacing w:after="0" w:line="181"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During the three months ended September 30, 2026 and September 30, 2025, the Company recognized revenue of $14.1 million and $12.9 million, respectively and $185.0 million and $178.1 million during the nine months ended September 30, 2026 and September 30, 2025, respectively, that was included in the corresponding contract liability balances at December 31, 2025 and December 31, 2024, respectively.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changes in contract assets and contract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September 30, 2026</w:t>
            </w: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Acquired contract assets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12,066</w:t>
            </w:r>
          </w:p>
        </w:tc>
        <w:tc>
          <w:tcPr>
            <w:tcW w:w="6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6,533</w:t>
            </w:r>
          </w:p>
        </w:tc>
        <w:tc>
          <w:tcPr>
            <w:tcW w:w="100" w:type="dxa"/>
            <w:vAlign w:val="bottom"/>
            <w:shd w:val="clear" w:color="auto" w:fill="CFF0FC"/>
          </w:tcPr>
          <w:p>
            <w:pPr>
              <w:spacing w:after="0"/>
              <w:rPr>
                <w:sz w:val="17"/>
                <w:szCs w:val="17"/>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1,139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During the three months ended September 30, 2026, there was no significant write-down of contract assets. For the nine months ended September 30, 2026, the Company recognized a reduction to contract assets of $14.8 million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300"/>
        <w:spacing w:after="0" w:line="247" w:lineRule="auto"/>
        <w:rPr>
          <w:sz w:val="20"/>
          <w:szCs w:val="20"/>
          <w:color w:val="auto"/>
        </w:rPr>
      </w:pPr>
      <w:r>
        <w:rPr>
          <w:rFonts w:ascii="Arial" w:cs="Arial" w:eastAsia="Arial" w:hAnsi="Arial"/>
          <w:sz w:val="18"/>
          <w:szCs w:val="18"/>
          <w:color w:val="auto"/>
        </w:rPr>
        <w:t>an increase to contract liabilities of $61.2 million due to two loss position contracts and related cumulative catch-up reductions to revenue. These contracts and related contract assets and liabilities are classified as held for sale as of September 30, 2026. Refer to the Contracts Held for Sale section below. There was no significant write-down of contract assets recognized during the three and nine months ended September 30, 2025.</w:t>
      </w:r>
    </w:p>
    <w:p>
      <w:pPr>
        <w:spacing w:after="0" w:line="160" w:lineRule="exact"/>
        <w:rPr>
          <w:sz w:val="20"/>
          <w:szCs w:val="20"/>
          <w:color w:val="auto"/>
        </w:rPr>
      </w:pPr>
    </w:p>
    <w:p>
      <w:pPr>
        <w:ind w:right="140" w:firstLine="644"/>
        <w:spacing w:after="0" w:line="253" w:lineRule="auto"/>
        <w:rPr>
          <w:sz w:val="20"/>
          <w:szCs w:val="20"/>
          <w:color w:val="auto"/>
        </w:rPr>
      </w:pPr>
      <w:r>
        <w:rPr>
          <w:rFonts w:ascii="Arial" w:cs="Arial" w:eastAsia="Arial" w:hAnsi="Arial"/>
          <w:sz w:val="18"/>
          <w:szCs w:val="18"/>
          <w:color w:val="auto"/>
        </w:rPr>
        <w:t>The following table presents revisions in estimates, such as changes in estimated claims or incentives, related to performance obligations partially satisfied in previous periods that individually had an impact of $5 million or more on revenue. In certain instances, revisions in estimates do not exceed the threshold in any particular quarter but exceed the threshold on a year-to-date basis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400" w:type="dxa"/>
            <w:vAlign w:val="bottom"/>
            <w:gridSpan w:val="5"/>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408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September 30, 2026</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r>
      <w:tr>
        <w:trPr>
          <w:trHeight w:val="19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 impact, net</w:t>
            </w:r>
          </w:p>
        </w:tc>
        <w:tc>
          <w:tcPr>
            <w:tcW w:w="1480" w:type="dxa"/>
            <w:vAlign w:val="bottom"/>
            <w:shd w:val="clear" w:color="auto" w:fill="CFF0FC"/>
          </w:tcPr>
          <w:p>
            <w:pPr>
              <w:jc w:val="right"/>
              <w:ind w:right="1299"/>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1,286</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(20,907)</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(977)</w:t>
            </w: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4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(82,079)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(977)</w:t>
            </w: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1480" w:type="dxa"/>
            <w:vAlign w:val="bottom"/>
            <w:shd w:val="clear" w:color="auto" w:fill="CFF0FC"/>
          </w:tcPr>
          <w:p>
            <w:pPr>
              <w:jc w:val="right"/>
              <w:ind w:right="1299"/>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w:t>
            </w:r>
          </w:p>
        </w:tc>
        <w:tc>
          <w:tcPr>
            <w:tcW w:w="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(72,765)</w:t>
            </w:r>
          </w:p>
        </w:tc>
        <w:tc>
          <w:tcPr>
            <w:tcW w:w="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(740)</w:t>
            </w: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Contracts Held for Sale</w:t>
      </w:r>
    </w:p>
    <w:p>
      <w:pPr>
        <w:spacing w:after="0" w:line="102"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During the second quarter of 2026 management committed to a plan to sell two Remote Programs within the Federal Solutions segment as part of its strategy to transfer the remaining contractual obligations to a third party. Management expects the sale and novation to be completed by the end of 2026. The assets and liabilities are classified as held for sale, reported at the lower of the carrying value or fair value less cost to sell and consist primarily of property and equipment, net of $2.4 million, contract assets of $18.6 million and contract liabilities of $57.4 million as of September 30, 2026. These balances are reported as assets held for sale and liabilities held for sale on the consolidated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September 30, 2026 and December 31, 2025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651,045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732,414</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461,207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395,889</w:t>
            </w:r>
          </w:p>
        </w:tc>
        <w:tc>
          <w:tcPr>
            <w:tcW w:w="120" w:type="dxa"/>
            <w:vAlign w:val="bottom"/>
          </w:tcPr>
          <w:p>
            <w:pPr>
              <w:spacing w:after="0"/>
              <w:rPr>
                <w:sz w:val="17"/>
                <w:szCs w:val="17"/>
                <w:color w:val="auto"/>
              </w:rPr>
            </w:pPr>
          </w:p>
        </w:tc>
      </w:tr>
      <w:tr>
        <w:trPr>
          <w:trHeight w:val="196"/>
        </w:trPr>
        <w:tc>
          <w:tcPr>
            <w:tcW w:w="73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1,112,252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1,128,303</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36"/>
        </w:trPr>
        <w:tc>
          <w:tcPr>
            <w:tcW w:w="730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1,108,366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1,124,417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15% and 19% as of September 30, 2026 and December 31, 2025, respectively.</w:t>
      </w:r>
    </w:p>
    <w:p>
      <w:pPr>
        <w:spacing w:after="0" w:line="174" w:lineRule="exact"/>
        <w:rPr>
          <w:sz w:val="20"/>
          <w:szCs w:val="20"/>
          <w:color w:val="auto"/>
        </w:rPr>
      </w:pPr>
    </w:p>
    <w:p>
      <w:pPr>
        <w:ind w:right="38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The Company’s remaining unsatisfied performance obligations (“RUPO”) as of September 30, 2026 represent a measure of the total dollar value of work to be performed on contracts awarded and in-progress. The Company had $7.6 billion in RUPO as of September 30, 2026.</w:t>
      </w:r>
    </w:p>
    <w:p>
      <w:pPr>
        <w:spacing w:after="0" w:line="169" w:lineRule="exact"/>
        <w:rPr>
          <w:sz w:val="20"/>
          <w:szCs w:val="20"/>
          <w:color w:val="auto"/>
        </w:rPr>
      </w:pPr>
    </w:p>
    <w:p>
      <w:pPr>
        <w:ind w:right="120" w:firstLine="636"/>
        <w:spacing w:after="0" w:line="301" w:lineRule="auto"/>
        <w:rPr>
          <w:sz w:val="20"/>
          <w:szCs w:val="20"/>
          <w:color w:val="auto"/>
        </w:rPr>
      </w:pPr>
      <w:r>
        <w:rPr>
          <w:rFonts w:ascii="Arial" w:cs="Arial" w:eastAsia="Arial" w:hAnsi="Arial"/>
          <w:sz w:val="17"/>
          <w:szCs w:val="17"/>
          <w:color w:val="auto"/>
        </w:rPr>
        <w:t>RUPO will increase with awards of new contracts and decrease as the Company performs work and recognizes revenue on existing contracts. Projects are included within RUPO at such time the project is awarded and agreement on contract terms has been reached.</w:t>
      </w:r>
    </w:p>
    <w:p>
      <w:pPr>
        <w:spacing w:after="0" w:line="131"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September 30, 2026 over the following periods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Within One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9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1,779,935</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671,293</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337,927</w:t>
            </w:r>
          </w:p>
        </w:tc>
      </w:tr>
      <w:tr>
        <w:trPr>
          <w:trHeight w:val="203"/>
        </w:trPr>
        <w:tc>
          <w:tcPr>
            <w:tcW w:w="394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8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2,263,309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1,288,568</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1,261,944</w:t>
            </w:r>
          </w:p>
        </w:tc>
        <w:tc>
          <w:tcPr>
            <w:tcW w:w="100" w:type="dxa"/>
            <w:vAlign w:val="bottom"/>
          </w:tcPr>
          <w:p>
            <w:pPr>
              <w:spacing w:after="0"/>
              <w:rPr>
                <w:sz w:val="17"/>
                <w:szCs w:val="17"/>
                <w:color w:val="auto"/>
              </w:rPr>
            </w:pPr>
          </w:p>
        </w:tc>
      </w:tr>
      <w:tr>
        <w:trPr>
          <w:trHeight w:val="216"/>
        </w:trPr>
        <w:tc>
          <w:tcPr>
            <w:tcW w:w="39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4,043,244</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1,959,861</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1,599,871</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eleven years, some of which may include options to extend the leases for up to five years, and some of which may include options to terminate the leases after the third year.</w:t>
      </w:r>
    </w:p>
    <w:p>
      <w:pPr>
        <w:spacing w:after="0" w:line="169"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components of lease costs for the three and nine months ended September 30, 2026 and September 30, 2025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68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320"/>
              <w:spacing w:after="0" w:line="147" w:lineRule="exact"/>
              <w:rPr>
                <w:sz w:val="20"/>
                <w:szCs w:val="20"/>
                <w:color w:val="auto"/>
              </w:rPr>
            </w:pPr>
            <w:r>
              <w:rPr>
                <w:rFonts w:ascii="Arial" w:cs="Arial" w:eastAsia="Arial" w:hAnsi="Arial"/>
                <w:sz w:val="14"/>
                <w:szCs w:val="14"/>
                <w:b w:val="1"/>
                <w:bCs w:val="1"/>
                <w:color w:val="auto"/>
              </w:rPr>
              <w:t>September 30,</w:t>
            </w:r>
          </w:p>
        </w:tc>
        <w:tc>
          <w:tcPr>
            <w:tcW w:w="1180" w:type="dxa"/>
            <w:vAlign w:val="bottom"/>
            <w:tcBorders>
              <w:top w:val="single" w:sz="8" w:color="auto"/>
            </w:tcBorders>
            <w:gridSpan w:val="2"/>
          </w:tcPr>
          <w:p>
            <w:pPr>
              <w:jc w:val="right"/>
              <w:ind w:right="33"/>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13,974</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16,971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46,350</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50,235</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20"/>
              <w:spacing w:after="0" w:line="202" w:lineRule="exact"/>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5,658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3,642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15,406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10,309</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1,382</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3,714</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3,413</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396</w:t>
            </w: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Sublease income</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(140)</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(974)</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(1,613)</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(2,796)</w:t>
            </w:r>
          </w:p>
        </w:tc>
      </w:tr>
      <w:tr>
        <w:trPr>
          <w:trHeight w:val="196"/>
        </w:trPr>
        <w:tc>
          <w:tcPr>
            <w:tcW w:w="46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lease cost</w:t>
            </w: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21,021</w:t>
            </w: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20,910</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64,246</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61,557</w:t>
            </w:r>
          </w:p>
        </w:tc>
        <w:tc>
          <w:tcPr>
            <w:tcW w:w="100" w:type="dxa"/>
            <w:vAlign w:val="bottom"/>
            <w:tcBorders>
              <w:top w:val="single" w:sz="8" w:color="CFF0FC"/>
            </w:tcBorders>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-162560</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-162560</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12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nine months ended September 30, 2026 and September 30, 2025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6"/>
          </w:tcPr>
          <w:p>
            <w:pPr>
              <w:ind w:left="980"/>
              <w:spacing w:after="0"/>
              <w:rPr>
                <w:sz w:val="20"/>
                <w:szCs w:val="20"/>
                <w:color w:val="auto"/>
              </w:rPr>
            </w:pPr>
            <w:r>
              <w:rPr>
                <w:rFonts w:ascii="Arial" w:cs="Arial" w:eastAsia="Arial" w:hAnsi="Arial"/>
                <w:sz w:val="14"/>
                <w:szCs w:val="14"/>
                <w:b w:val="1"/>
                <w:bCs w:val="1"/>
                <w:color w:val="auto"/>
              </w:rPr>
              <w:t>Nine Months Ended</w:t>
            </w:r>
          </w:p>
        </w:tc>
      </w:tr>
      <w:tr>
        <w:trPr>
          <w:trHeight w:val="155"/>
        </w:trPr>
        <w:tc>
          <w:tcPr>
            <w:tcW w:w="58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September 30, 2026</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rPr>
              <w:t>September 30, 2025</w:t>
            </w:r>
          </w:p>
        </w:tc>
        <w:tc>
          <w:tcPr>
            <w:tcW w:w="660" w:type="dxa"/>
            <w:vAlign w:val="bottom"/>
            <w:gridSpan w:val="2"/>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45,087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49,892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389</w:t>
            </w:r>
          </w:p>
        </w:tc>
        <w:tc>
          <w:tcPr>
            <w:tcW w:w="12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396</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3,681</w:t>
            </w:r>
          </w:p>
        </w:tc>
        <w:tc>
          <w:tcPr>
            <w:tcW w:w="1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3,311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40,217</w:t>
            </w:r>
          </w:p>
        </w:tc>
        <w:tc>
          <w:tcPr>
            <w:tcW w:w="120" w:type="dxa"/>
            <w:vAlign w:val="bottom"/>
          </w:tcPr>
          <w:p>
            <w:pPr>
              <w:spacing w:after="0"/>
              <w:rPr>
                <w:sz w:val="17"/>
                <w:szCs w:val="17"/>
                <w:color w:val="auto"/>
              </w:rPr>
            </w:pPr>
          </w:p>
        </w:tc>
        <w:tc>
          <w:tcPr>
            <w:tcW w:w="1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18,942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3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5,448</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2,164</w:t>
            </w:r>
          </w:p>
        </w:tc>
        <w:tc>
          <w:tcPr>
            <w:tcW w:w="560" w:type="dxa"/>
            <w:vAlign w:val="bottom"/>
          </w:tcPr>
          <w:p>
            <w:pPr>
              <w:spacing w:after="0"/>
              <w:rPr>
                <w:sz w:val="17"/>
                <w:szCs w:val="17"/>
                <w:color w:val="auto"/>
              </w:rPr>
            </w:pPr>
          </w:p>
        </w:tc>
      </w:tr>
      <w:tr>
        <w:trPr>
          <w:trHeight w:val="652"/>
        </w:trPr>
        <w:tc>
          <w:tcPr>
            <w:tcW w:w="6780" w:type="dxa"/>
            <w:vAlign w:val="bottom"/>
            <w:gridSpan w:val="2"/>
          </w:tcPr>
          <w:p>
            <w:pPr>
              <w:jc w:val="right"/>
              <w:ind w:right="97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8" w:name="page19"/>
    <w:bookmarkEnd w:id="18"/>
    <w:p>
      <w:pPr>
        <w:ind w:right="56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September 30, 2026 and December 31, 2025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157,932</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126,770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38,742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45,353</w:t>
            </w:r>
          </w:p>
        </w:tc>
        <w:tc>
          <w:tcPr>
            <w:tcW w:w="1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Long-term</w:t>
            </w:r>
          </w:p>
        </w:tc>
        <w:tc>
          <w:tcPr>
            <w:tcW w:w="13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133,244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94,044</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1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171,986</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139,397</w:t>
            </w:r>
          </w:p>
        </w:tc>
        <w:tc>
          <w:tcPr>
            <w:tcW w:w="1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11,039</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8,990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4,118</w:t>
            </w: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6,683</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5,240</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5.1 Years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3.7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-1576705</wp:posOffset>
            </wp:positionV>
            <wp:extent cx="1111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1117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2026, the Company has no material leases that have not yet commenced.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19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12,287</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1,468</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44,263</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4,878</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38,070</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3,523</w:t>
            </w:r>
          </w:p>
        </w:tc>
      </w:tr>
      <w:tr>
        <w:trPr>
          <w:trHeight w:val="202"/>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29,955</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2,070</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21,913</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639</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50,704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197,192</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12,578</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(25,206)</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(1,140)</w:t>
            </w: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171,986</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11,438</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2025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Foreign</w:t>
            </w:r>
          </w:p>
        </w:tc>
        <w:tc>
          <w:tcPr>
            <w:tcW w:w="13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620" w:type="dxa"/>
            <w:vAlign w:val="bottom"/>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Exchange</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1,861,218</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236,541</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2,097,759</w:t>
            </w:r>
          </w:p>
        </w:tc>
        <w:tc>
          <w:tcPr>
            <w:tcW w:w="100" w:type="dxa"/>
            <w:vAlign w:val="bottom"/>
            <w:shd w:val="clear" w:color="auto" w:fill="CFF0FC"/>
          </w:tcPr>
          <w:p>
            <w:pPr>
              <w:spacing w:after="0"/>
              <w:rPr>
                <w:sz w:val="17"/>
                <w:szCs w:val="17"/>
                <w:color w:val="auto"/>
              </w:rPr>
            </w:pP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325,432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(1,678)</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323,830</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2,186,650</w:t>
            </w:r>
          </w:p>
        </w:tc>
        <w:tc>
          <w:tcPr>
            <w:tcW w:w="3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236,617</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(1,678)</w:t>
            </w:r>
          </w:p>
        </w:tc>
        <w:tc>
          <w:tcPr>
            <w:tcW w:w="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2,421,589</w:t>
            </w:r>
          </w:p>
        </w:tc>
        <w:tc>
          <w:tcPr>
            <w:tcW w:w="100" w:type="dxa"/>
            <w:vAlign w:val="bottom"/>
            <w:shd w:val="clear" w:color="auto" w:fill="CFF0FC"/>
          </w:tcPr>
          <w:p>
            <w:pPr>
              <w:spacing w:after="0"/>
              <w:rPr>
                <w:sz w:val="18"/>
                <w:szCs w:val="18"/>
                <w:color w:val="auto"/>
              </w:rPr>
            </w:pP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September 30, 2026 and concluded there has not been an impairment.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4"/>
            <w:vMerge w:val="restart"/>
          </w:tcPr>
          <w:p>
            <w:pPr>
              <w:jc w:val="center"/>
              <w:ind w:right="60"/>
              <w:spacing w:after="0"/>
              <w:rPr>
                <w:sz w:val="20"/>
                <w:szCs w:val="20"/>
                <w:color w:val="auto"/>
              </w:rPr>
            </w:pPr>
            <w:r>
              <w:rPr>
                <w:rFonts w:ascii="Arial" w:cs="Arial" w:eastAsia="Arial" w:hAnsi="Arial"/>
                <w:sz w:val="13"/>
                <w:szCs w:val="13"/>
                <w:b w:val="1"/>
                <w:bCs w:val="1"/>
                <w:color w:val="auto"/>
                <w:w w:val="97"/>
              </w:rPr>
              <w:t>September 30, 2026</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5"/>
              </w:rPr>
              <w:t>December 31, 2025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center"/>
              <w:ind w:right="71"/>
              <w:spacing w:after="0" w:line="111" w:lineRule="exact"/>
              <w:rPr>
                <w:sz w:val="20"/>
                <w:szCs w:val="20"/>
                <w:color w:val="auto"/>
              </w:rPr>
            </w:pPr>
            <w:r>
              <w:rPr>
                <w:rFonts w:ascii="Arial" w:cs="Arial" w:eastAsia="Arial" w:hAnsi="Arial"/>
                <w:sz w:val="12"/>
                <w:szCs w:val="12"/>
                <w:b w:val="1"/>
                <w:bCs w:val="1"/>
                <w:color w:val="auto"/>
              </w:rPr>
              <w:t>Gross</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9"/>
                <w:szCs w:val="9"/>
                <w:color w:val="auto"/>
              </w:rPr>
            </w:pPr>
          </w:p>
        </w:tc>
        <w:tc>
          <w:tcPr>
            <w:tcW w:w="76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center"/>
              <w:ind w:right="91"/>
              <w:spacing w:after="0" w:line="111" w:lineRule="exact"/>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9"/>
                <w:szCs w:val="9"/>
                <w:color w:val="auto"/>
              </w:rPr>
            </w:pPr>
          </w:p>
        </w:tc>
        <w:tc>
          <w:tcPr>
            <w:tcW w:w="980" w:type="dxa"/>
            <w:vAlign w:val="bottom"/>
            <w:gridSpan w:val="2"/>
          </w:tcPr>
          <w:p>
            <w:pPr>
              <w:jc w:val="center"/>
              <w:ind w:right="12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8"/>
              </w:rPr>
              <w:t>Amortization</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170,870</w:t>
            </w:r>
          </w:p>
        </w:tc>
        <w:tc>
          <w:tcPr>
            <w:tcW w:w="3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(120,016)</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50,854</w:t>
            </w:r>
          </w:p>
        </w:tc>
        <w:tc>
          <w:tcPr>
            <w:tcW w:w="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154,470</w:t>
            </w:r>
          </w:p>
        </w:tc>
        <w:tc>
          <w:tcPr>
            <w:tcW w:w="420" w:type="dxa"/>
            <w:vAlign w:val="bottom"/>
            <w:gridSpan w:val="2"/>
            <w:shd w:val="clear" w:color="auto" w:fill="CFF0FC"/>
          </w:tcPr>
          <w:p>
            <w:pPr>
              <w:jc w:val="right"/>
              <w:ind w:right="77"/>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(83,181)</w:t>
            </w:r>
          </w:p>
        </w:tc>
        <w:tc>
          <w:tcPr>
            <w:tcW w:w="1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71,289</w:t>
            </w:r>
          </w:p>
        </w:tc>
        <w:tc>
          <w:tcPr>
            <w:tcW w:w="10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Customer relationships</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480,030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(188,878)</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291,152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395,460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(166,391)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229,069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29,100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(16,897)</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12,203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(13,496)</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16,604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Trade name</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(2,492)</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2,438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10,680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(6,459)</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10,980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(4,293)</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Pr>
          <w:p>
            <w:pPr>
              <w:spacing w:after="0"/>
              <w:rPr>
                <w:sz w:val="14"/>
                <w:szCs w:val="14"/>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1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ind w:left="66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6"/>
        </w:trPr>
        <w:tc>
          <w:tcPr>
            <w:tcW w:w="3380" w:type="dxa"/>
            <w:vAlign w:val="bottom"/>
          </w:tcPr>
          <w:p>
            <w:pPr>
              <w:ind w:left="60"/>
              <w:spacing w:after="0" w:line="155" w:lineRule="exact"/>
              <w:rPr>
                <w:sz w:val="20"/>
                <w:szCs w:val="20"/>
                <w:color w:val="auto"/>
              </w:rPr>
            </w:pPr>
            <w:r>
              <w:rPr>
                <w:rFonts w:ascii="Arial" w:cs="Arial" w:eastAsia="Arial" w:hAnsi="Arial"/>
                <w:sz w:val="14"/>
                <w:szCs w:val="14"/>
                <w:color w:val="auto"/>
              </w:rPr>
              <w:t>Total intangible assets</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697,410</w:t>
            </w:r>
          </w:p>
        </w:tc>
        <w:tc>
          <w:tcPr>
            <w:tcW w:w="24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(334,742)</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362,668</w:t>
            </w:r>
          </w:p>
        </w:tc>
        <w:tc>
          <w:tcPr>
            <w:tcW w:w="3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595,364</w:t>
            </w:r>
          </w:p>
        </w:tc>
        <w:tc>
          <w:tcPr>
            <w:tcW w:w="420" w:type="dxa"/>
            <w:vAlign w:val="bottom"/>
            <w:gridSpan w:val="2"/>
          </w:tcPr>
          <w:p>
            <w:pPr>
              <w:jc w:val="right"/>
              <w:ind w:right="77"/>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(269,484)</w:t>
            </w:r>
          </w:p>
        </w:tc>
        <w:tc>
          <w:tcPr>
            <w:tcW w:w="1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325,880</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-119380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-119380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-119380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-119380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-119380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60" w:firstLine="636"/>
        <w:spacing w:after="0" w:line="253" w:lineRule="auto"/>
        <w:rPr>
          <w:sz w:val="20"/>
          <w:szCs w:val="20"/>
          <w:color w:val="auto"/>
        </w:rPr>
      </w:pPr>
      <w:r>
        <w:rPr>
          <w:rFonts w:ascii="Arial" w:cs="Arial" w:eastAsia="Arial" w:hAnsi="Arial"/>
          <w:sz w:val="18"/>
          <w:szCs w:val="18"/>
          <w:color w:val="auto"/>
        </w:rPr>
        <w:t>The aggregate amortization expense of intangible assets for the three months ended September 30, 2026 and September 30, 2025 was $21.5 million and $18.0 million, respectively and for the nine months ended September 30, 2026 and September 30, 2025 was $69.0 million and $51.4 million, respectively.</w:t>
      </w:r>
    </w:p>
    <w:p>
      <w:pPr>
        <w:spacing w:after="0" w:line="169" w:lineRule="exact"/>
        <w:rPr>
          <w:sz w:val="20"/>
          <w:szCs w:val="20"/>
          <w:color w:val="auto"/>
        </w:rPr>
      </w:pPr>
    </w:p>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4"/>
                <w:szCs w:val="14"/>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20,558</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200" w:type="dxa"/>
            <w:vAlign w:val="bottom"/>
          </w:tcPr>
          <w:p>
            <w:pPr>
              <w:spacing w:after="0"/>
              <w:rPr>
                <w:sz w:val="17"/>
                <w:szCs w:val="17"/>
                <w:color w:val="auto"/>
              </w:rPr>
            </w:pP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66,183</w:t>
            </w:r>
          </w:p>
        </w:tc>
      </w:tr>
      <w:tr>
        <w:trPr>
          <w:trHeight w:val="202"/>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48,480</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200" w:type="dxa"/>
            <w:vAlign w:val="bottom"/>
          </w:tcPr>
          <w:p>
            <w:pPr>
              <w:spacing w:after="0"/>
              <w:rPr>
                <w:sz w:val="17"/>
                <w:szCs w:val="17"/>
                <w:color w:val="auto"/>
              </w:rPr>
            </w:pPr>
          </w:p>
        </w:tc>
        <w:tc>
          <w:tcPr>
            <w:tcW w:w="1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32,107</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20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28,389</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165,151</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360,868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September 30, 2026 and December 31, 2025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460" w:type="dxa"/>
            <w:vAlign w:val="bottom"/>
            <w:shd w:val="clear" w:color="auto" w:fill="CFF0FC"/>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109,322</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118,945</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78,408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88,011</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187,655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181,595</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19,450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15,739</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51,070</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446,180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455,360</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(277,894)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(304,299)</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460" w:type="dxa"/>
            <w:vAlign w:val="bottom"/>
          </w:tcPr>
          <w:p>
            <w:pPr>
              <w:jc w:val="right"/>
              <w:ind w:right="276"/>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168,286</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151,061</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-162560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-162560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jc w:val="both"/>
        <w:ind w:right="140" w:firstLine="636"/>
        <w:spacing w:after="0" w:line="271" w:lineRule="auto"/>
        <w:rPr>
          <w:sz w:val="20"/>
          <w:szCs w:val="20"/>
          <w:color w:val="auto"/>
        </w:rPr>
      </w:pPr>
      <w:r>
        <w:rPr>
          <w:rFonts w:ascii="Arial" w:cs="Arial" w:eastAsia="Arial" w:hAnsi="Arial"/>
          <w:sz w:val="18"/>
          <w:szCs w:val="18"/>
          <w:color w:val="auto"/>
        </w:rPr>
        <w:t>Depreciation expense for the three months ended September 30, 2026 and September 30, 2025 was $10.7 million and $9.5 million, respectively and for the nine months ended September 30, 2026 and September 30, 2025 was $31.5 million and $28.1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2025</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2"/>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Convertible senior notes due 2029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Term loan due 2028</w:t>
            </w: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Revolving credit facility</w:t>
            </w:r>
          </w:p>
        </w:tc>
        <w:tc>
          <w:tcPr>
            <w:tcW w:w="16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116,000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(8,836)</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(12,184)</w:t>
            </w:r>
          </w:p>
        </w:tc>
      </w:tr>
      <w:tr>
        <w:trPr>
          <w:trHeight w:val="196"/>
        </w:trPr>
        <w:tc>
          <w:tcPr>
            <w:tcW w:w="61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1,357,164</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top w:val="single" w:sz="8" w:color="CFF0FC"/>
            </w:tcBorders>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1,357,164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1,237,816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-299720</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In June 2025, the Company terminated its $350 million Delayed Draw Term Loan due 2025 and its $650 million Revolving Credit Facility due 2026 and replaced these revolving credit facilities with a $450 million Term Loan due 2028 and a $750 million Revolving Credit Facility due 2030. Proceeds from the Term Loan were used to pay off the outstanding balance of the Delayed Draw Term Loan.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Loan due 2028</w:t>
      </w:r>
    </w:p>
    <w:p>
      <w:pPr>
        <w:spacing w:after="0" w:line="210" w:lineRule="exact"/>
        <w:rPr>
          <w:sz w:val="20"/>
          <w:szCs w:val="20"/>
          <w:color w:val="auto"/>
        </w:rPr>
      </w:pPr>
    </w:p>
    <w:p>
      <w:pPr>
        <w:ind w:right="20" w:firstLine="644"/>
        <w:spacing w:after="0" w:line="253" w:lineRule="auto"/>
        <w:rPr>
          <w:sz w:val="20"/>
          <w:szCs w:val="20"/>
          <w:color w:val="auto"/>
        </w:rPr>
      </w:pPr>
      <w:r>
        <w:rPr>
          <w:rFonts w:ascii="Arial" w:cs="Arial" w:eastAsia="Arial" w:hAnsi="Arial"/>
          <w:sz w:val="17"/>
          <w:szCs w:val="17"/>
          <w:color w:val="auto"/>
        </w:rPr>
        <w:t>In June 2025, the Company entered into a $450 million unsecured Term Loan with an increase option of up to $150 million. The Term Loan has a three-year maturity and permits the Company to borrow in U.S. dollars. Proceeds of the Term Loan Agreement may be used (a) to pay off in full, or partially pay off, the Company’s existing Convertible Senior Notes, (b) to prepay revolving loans outstanding under the Revolving Credit Facility (as defined below), or (c) for working capital, capital expenditures and other lawful corporate purposes. The Company incurred $0.9 million of debt issuance costs in connection with the Term Loan. These costs are presented as a direct deduction from long-term debt on the face of the balance sheet. Interest expense related to the Term Loan for the three and nine months ended September 30, 2026 was $5.7 million and $16.8 million, respectively, and $6.4 million and $8.1 million for the three and nine months ended September 30, 2025, respectively. Included in these amounts were amortization of debt fees of $0.1 million and $0.2 million for the three and nine months ended September 30, 2026, respectively, and $0.1 million for the three and nine months ended September 30, 2025. The amortization of debt issuance costs and interest expense is recorded in “Interest expense” on the consolidated statements of income. As of September 30, 2026 and December 31, 2025, the net carrying value of the Term Loan was $449.5 million and $449.3 million, respectively.</w:t>
      </w:r>
    </w:p>
    <w:p>
      <w:pPr>
        <w:spacing w:after="0" w:line="177" w:lineRule="exact"/>
        <w:rPr>
          <w:sz w:val="20"/>
          <w:szCs w:val="20"/>
          <w:color w:val="auto"/>
        </w:rPr>
      </w:pPr>
    </w:p>
    <w:p>
      <w:pPr>
        <w:jc w:val="both"/>
        <w:ind w:right="140" w:firstLine="644"/>
        <w:spacing w:after="0" w:line="242" w:lineRule="auto"/>
        <w:rPr>
          <w:sz w:val="20"/>
          <w:szCs w:val="20"/>
          <w:color w:val="auto"/>
        </w:rPr>
      </w:pPr>
      <w:r>
        <w:rPr>
          <w:rFonts w:ascii="Arial" w:cs="Arial" w:eastAsia="Arial" w:hAnsi="Arial"/>
          <w:sz w:val="18"/>
          <w:szCs w:val="18"/>
          <w:color w:val="auto"/>
        </w:rPr>
        <w:t>The Term Loan does not require any amortization payments by the Company. Depending on the Company’s consolidated leverage ratio (or debt rating after such time as the Company has such rating), borrowings under the Term Loan Agreement bear interest at either an adjusted Term SOFR benchmark rate plus a margin between 0.875% and 1.500% or a base rate plus a margin of between 0% and 0.500% and initially bore interest at the middle of this range. Amounts outstanding under the Term Loan Agreement may be prepaid at the option of the Company without premium or penalty, subject to customary breakage fees in connection with the prepayment of benchmark rate loans. The rates on September 30, 2026 and December 31, 2025 were 5.2% and 4.8%,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Delayed Draw Term Loan (Terminated June 2025)</w:t>
      </w:r>
    </w:p>
    <w:p>
      <w:pPr>
        <w:spacing w:after="0" w:line="210"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 $150 million (the “2022 Delayed Draw Term Loan”). Proceeds of the 2022 Delayed Draw Term Loan Agreement may be used (a) to pay off in full, or partially pay off, the Company’s existing Senior Notes, (b) to prepay revolving loans outstanding under the Revolving Credit Facility (as defined below), or (c) for working capital, capital expenditures and other lawful corporate purposes. The Company incurred $0.9 million of debt issuance costs in connection with the delayed draw term loan. These costs are presented as a direct deduction from long-term debt on the face of the balance sheet. Interest expense related to the Delayed Draw Term Loan for the three and nine months ended September 30, 2025 were $0.0 million and $8.2 million, respectively. Included in these amounts were amortization of debt fees of $0.0 million and $0.1 million for the three and nine months ended September 30, 2025, respectively. The amortization of debt issuance costs and interest expense is recorded in “Interest expense” on the consolidated statements of income.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210"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accrued interest at a rate of 0.25% per annum, payable semi-annually on February 15 and August 15 of each year beginning on February 15, 2021. The Convertible Senior Notes due 2025 matured August 15, 2025.</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interest expense of $0.04 million and $0.2 million for the three and nine months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 of each year beginning on September 1, 2024, and will mature on March 1, 2029, unless earlier repurchased, redeemed or converted.</w:t>
      </w:r>
    </w:p>
    <w:p>
      <w:pPr>
        <w:spacing w:after="0" w:line="176"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Term Loan,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240" w:firstLine="644"/>
        <w:spacing w:after="0" w:line="242" w:lineRule="auto"/>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conversion of that 2029 Convertible Notes will be increased in certain circumstances if it is converted after it is called for redemption.</w:t>
      </w:r>
    </w:p>
    <w:p>
      <w:pPr>
        <w:spacing w:after="0" w:line="212"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Upon the occurrence of a Make-Whole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 due upon conversion based on a daily conversion value calculated on a proportionate basis for each trading day in a 50-trading day observation period.</w:t>
      </w:r>
    </w:p>
    <w:p>
      <w:pPr>
        <w:spacing w:after="0" w:line="174" w:lineRule="exact"/>
        <w:rPr>
          <w:sz w:val="20"/>
          <w:szCs w:val="20"/>
          <w:color w:val="auto"/>
        </w:rPr>
      </w:pPr>
    </w:p>
    <w:p>
      <w:pPr>
        <w:ind w:right="180" w:firstLine="644"/>
        <w:spacing w:after="0" w:line="242" w:lineRule="auto"/>
        <w:rPr>
          <w:sz w:val="20"/>
          <w:szCs w:val="20"/>
          <w:color w:val="auto"/>
        </w:rPr>
      </w:pPr>
      <w:r>
        <w:rPr>
          <w:rFonts w:ascii="Arial" w:cs="Arial" w:eastAsia="Arial" w:hAnsi="Arial"/>
          <w:sz w:val="18"/>
          <w:szCs w:val="18"/>
          <w:color w:val="auto"/>
        </w:rPr>
        <w:t>The Company recognized interest expense with respect to the Convertible Senior Notes Due 2029 of $6.3 million for the three months ended September 30, 2026 and September 30, 2025 and $18.9 million for the nine months ended September 30, 2026 and September 30, 2025. Included in these amounts were amortization of debt fees of $1.0 million for the three months ended September 30, 2026 and September 30, 2025 and $3.1 million for the nine months ended September 30, 2026 and September 30, 2025. As of September 30, 2026 and December 31, 2025, the net carrying value of the Convertible Senior Notes Due 2029 were $791.6 million and $788.5 million,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4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18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6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 due 2030</w:t>
      </w:r>
    </w:p>
    <w:p>
      <w:pPr>
        <w:spacing w:after="0" w:line="210"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In June 2025, the Company entered into a $750 million unsecured revolving credit facility (the “Revolving Credit Facility”). The Company incurred $1.7 million of costs in connection with this Revolving Credit Facility. The 2025 Revolving Credit Facility replaced an existing Revolving Credit Facility dated as of June 25, 2021. Under the new agreement, the Company’s revolving credit facility was increased from $650 million to $750 million. The revolving credit facility has a five-year maturity, which may be extended up to two times for periods determined by the Company and the applicable extending lenders, and permits the Company to borrow in U.S. dollars, certain specified foreign currencies, and each other currency that may be approved in accordance with the 2025 Facility. The borrowings under the Revolving Credit Facility bear interest at either the Term SOFR rate plus a margin between 1.0% and 1.625% or a base rate (as defined in the Revolving Credit Facility) plus a margin of between 0% and 0.625%. The rates on September 30, 2026 and December 31, 2025 were 5.3% and 5.0%, respectively. Letters of credit commitments outstanding under this agreement aggregated to $40.9 million at September 30, 2026 which reduced borrowing limits available to the Company.</w:t>
      </w:r>
    </w:p>
    <w:p>
      <w:pPr>
        <w:spacing w:after="0" w:line="180" w:lineRule="exact"/>
        <w:rPr>
          <w:sz w:val="20"/>
          <w:szCs w:val="20"/>
          <w:color w:val="auto"/>
        </w:rPr>
      </w:pPr>
    </w:p>
    <w:p>
      <w:pPr>
        <w:ind w:right="120" w:firstLine="644"/>
        <w:spacing w:after="0" w:line="271" w:lineRule="auto"/>
        <w:rPr>
          <w:sz w:val="20"/>
          <w:szCs w:val="20"/>
          <w:color w:val="auto"/>
        </w:rPr>
      </w:pPr>
      <w:r>
        <w:rPr>
          <w:rFonts w:ascii="Arial" w:cs="Arial" w:eastAsia="Arial" w:hAnsi="Arial"/>
          <w:sz w:val="18"/>
          <w:szCs w:val="18"/>
          <w:color w:val="auto"/>
        </w:rPr>
        <w:t>Interest expenses related to the Revolving Credit Facilities (due 2030 and due 2026) were $3.8 million and $0.1 million for the three months ended September 30, 2026 and September 30, 2025, respectively and were $11.5 million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right="80"/>
        <w:spacing w:after="0" w:line="247" w:lineRule="auto"/>
        <w:rPr>
          <w:sz w:val="20"/>
          <w:szCs w:val="20"/>
          <w:color w:val="auto"/>
        </w:rPr>
      </w:pPr>
      <w:r>
        <w:rPr>
          <w:rFonts w:ascii="Arial" w:cs="Arial" w:eastAsia="Arial" w:hAnsi="Arial"/>
          <w:sz w:val="18"/>
          <w:szCs w:val="18"/>
          <w:color w:val="auto"/>
        </w:rPr>
        <w:t>$0.6 million for the nine months ended September 30, 2026 and September 30, 2025, respectively. Included in these amounts were amortization of debt fees of $0.1 million for the three months ended September 30, 2026 and September 30, 2025 and $0.3 million for the nine months ended September 30, 2026 and September 30, 2025. The net carrying value of the Revolving Credit Facility was $116.0 million as of September 30, 2026 and there was no amount outstanding as of December 31, 2025.</w:t>
      </w:r>
    </w:p>
    <w:p>
      <w:pPr>
        <w:spacing w:after="0" w:line="174" w:lineRule="exact"/>
        <w:rPr>
          <w:sz w:val="20"/>
          <w:szCs w:val="20"/>
          <w:color w:val="auto"/>
        </w:rPr>
      </w:pPr>
    </w:p>
    <w:p>
      <w:pPr>
        <w:ind w:right="180" w:firstLine="644"/>
        <w:spacing w:after="0" w:line="255" w:lineRule="auto"/>
        <w:rPr>
          <w:sz w:val="20"/>
          <w:szCs w:val="20"/>
          <w:color w:val="auto"/>
        </w:rPr>
      </w:pPr>
      <w:r>
        <w:rPr>
          <w:rFonts w:ascii="Arial" w:cs="Arial" w:eastAsia="Arial" w:hAnsi="Arial"/>
          <w:sz w:val="18"/>
          <w:szCs w:val="18"/>
          <w:color w:val="auto"/>
        </w:rPr>
        <w:t>The Revolving Credit Facility includes various covenants, including restrictions on indebtedness, liens, acquisitions, investments or dispositions, payment of dividends and maintenance of certain financial ratios and conditions. The Company was in compliance with these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covenants at September 30, 2026.</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10" w:lineRule="exact"/>
        <w:rPr>
          <w:sz w:val="20"/>
          <w:szCs w:val="20"/>
          <w:color w:val="auto"/>
        </w:rPr>
      </w:pPr>
    </w:p>
    <w:p>
      <w:pPr>
        <w:ind w:right="300" w:firstLine="644"/>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$335.5 million and $356.2 million at September 30, 2026 and December 31, 2025, respectively.</w:t>
      </w:r>
    </w:p>
    <w:p>
      <w:pPr>
        <w:spacing w:after="0" w:line="27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The Company’s effective tax rate was 23.3% and 16.4% for the three months ended September 30, 2026 and September 30, 2025, respectively. The increase in the effective tax rate was due primarily to the increased valuation allowances against deferred tax assets related to foreign tax credit carryforwards (FTCs) and a decrease in the current three month period compared to the corresponding period last year in discrete tax benefits primarily resulting from the expiration of the statute of limitations and re-evaluation of tax positions related to certain unrecognized tax benefits, partially offset by a change in jurisdictional mix of earnings. The Company’s effective tax rate was 23.6% and 18.7% for the nine months ended September 30, 2026 and September 30, 2025, respectively. The change in effective tax rate was due primarily to increased valuation allowances against deferred tax assets related to foreign net operating loss carryforwards (NOLs) and FTCs and a decrease in the current nine month period compared to the corresponding period last year in discrete tax benefits primarily resulting from the expiration of the statute of limitations and re-evaluation of tax positions related to certain unrecognized tax benefits, partially offset by a change in jurisdictional mix of earnings.</w:t>
      </w:r>
    </w:p>
    <w:p>
      <w:pPr>
        <w:spacing w:after="0" w:line="180"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The difference between the effective tax rate and the statutory U.S. Federal income tax rate of 21% for the three months ended September 30, 2026 primarily relates to state income taxes and increased valuation allowances, partially offset by decreases in uncertain tax positions, earnings subject to lower tax in foreign jurisdictions, untaxed income attributable to noncontrolling interests, and federal tax credits. The difference between the effective tax rate and the statutory U.S. Federal income tax rate of 21% for the nine months ended September 30, 2026 primarily relates to increased valuation allowances, state income taxes, and executive compensation subject to Section 162(m), partially offset by decreases in uncertain tax positions, earnings subject to lower tax in foreign jurisdictions, untaxed income attributable to noncontrolling interests, federal tax credits, and the windfall equity-based compensation deduction.</w:t>
      </w:r>
    </w:p>
    <w:p>
      <w:pPr>
        <w:spacing w:after="0" w:line="185"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As of September 30, 2026, the Company’s deferred tax assets were subject to a valuation allowance of $60.4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200" w:firstLine="644"/>
        <w:spacing w:after="0" w:line="271" w:lineRule="auto"/>
        <w:rPr>
          <w:sz w:val="20"/>
          <w:szCs w:val="20"/>
          <w:color w:val="auto"/>
        </w:rPr>
      </w:pPr>
      <w:r>
        <w:rPr>
          <w:rFonts w:ascii="Arial" w:cs="Arial" w:eastAsia="Arial" w:hAnsi="Arial"/>
          <w:sz w:val="18"/>
          <w:szCs w:val="18"/>
          <w:color w:val="auto"/>
        </w:rPr>
        <w:t>As of September 30, 2026 and December 31, 2025, the liability for income taxes associated with uncertain tax positions was $25.1 million and $32.4 million, respectively.</w:t>
      </w:r>
    </w:p>
    <w:p>
      <w:pPr>
        <w:spacing w:after="0" w:line="154" w:lineRule="exact"/>
        <w:rPr>
          <w:sz w:val="20"/>
          <w:szCs w:val="20"/>
          <w:color w:val="auto"/>
        </w:rPr>
      </w:pPr>
    </w:p>
    <w:p>
      <w:pPr>
        <w:ind w:right="220" w:firstLine="644"/>
        <w:spacing w:after="0" w:line="271"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w:t>
      </w:r>
    </w:p>
    <w:p>
      <w:pPr>
        <w:spacing w:after="0" w:line="154" w:lineRule="exact"/>
        <w:rPr>
          <w:sz w:val="20"/>
          <w:szCs w:val="20"/>
          <w:color w:val="auto"/>
        </w:rPr>
      </w:pPr>
    </w:p>
    <w:p>
      <w:pPr>
        <w:jc w:val="both"/>
        <w:ind w:right="100" w:firstLine="644"/>
        <w:spacing w:after="0" w:line="247" w:lineRule="auto"/>
        <w:rPr>
          <w:sz w:val="20"/>
          <w:szCs w:val="20"/>
          <w:color w:val="auto"/>
        </w:rPr>
      </w:pPr>
      <w:r>
        <w:rPr>
          <w:rFonts w:ascii="Arial" w:cs="Arial" w:eastAsia="Arial" w:hAnsi="Arial"/>
          <w:sz w:val="18"/>
          <w:szCs w:val="18"/>
          <w:color w:val="auto"/>
        </w:rPr>
        <w:t>Different non-US tax jurisdictions continue to enact legislation to adopt components of the Organization for Economic Co-operation and Development (OECD) Base Erosion and Profit Shifting (BEPS) Pillar Two Model Rules. In September 2026, the OECD released a Pillar Two implementation package. The package supports the consistent implementation and application of the Global Minimum Tax, including a framework for the full legislative review process,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jc w:val="both"/>
        <w:ind w:right="120"/>
        <w:spacing w:after="0" w:line="247" w:lineRule="auto"/>
        <w:rPr>
          <w:sz w:val="20"/>
          <w:szCs w:val="20"/>
          <w:color w:val="auto"/>
        </w:rPr>
      </w:pPr>
      <w:r>
        <w:rPr>
          <w:rFonts w:ascii="Arial" w:cs="Arial" w:eastAsia="Arial" w:hAnsi="Arial"/>
          <w:sz w:val="18"/>
          <w:szCs w:val="18"/>
          <w:color w:val="auto"/>
        </w:rPr>
        <w:t>updates to the Global Anti-Base Erosion (GloBE) Information Return (GIR), and new guidance on the application of the GloBE Model Rules. The Company has evaluated the impact of the enacted legislation to date and has determined there is no material impact to the Company’s income tax provision. We are continuing to evaluate the potential impact on future periods of the Pillar Two Framework, pending enactment of legislation by individual countries.</w:t>
      </w:r>
    </w:p>
    <w:p>
      <w:pPr>
        <w:spacing w:after="0" w:line="17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5"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 xml:space="preserve">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In March 2025, the court granted Parsons’ motion for summary judgment. The Relator has appealed this decision. Oral argument was held before the appellate court in May 2026 and in October 2026 the appellate court affirmed the lower court's grant of summary judgment. The Relator has requested an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review of the Appeal’s Court decision.</w:t>
      </w:r>
    </w:p>
    <w:p>
      <w:pPr>
        <w:spacing w:after="0" w:line="183"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("PTG") and against Alstom Signaling Operations LLC ("Alstom"). This proposed award relates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PTG pre-judgment interest in the amount of $34.0 million and amended the judgment accordingly to include such interest. Alstom filed a Notice of Appeal and has posted a bond as required under California law. The appellate briefs have been filed and both parties have requested oral argument, which has been scheduled for November 20, 2026. In the interim, Parsons and Alstom are exploring opportunities for resolution. At this time, the Company is unable to determine the outcome of the Alstom litigation.</w:t>
      </w:r>
    </w:p>
    <w:p>
      <w:pPr>
        <w:spacing w:after="0" w:line="180"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w:t>
      </w:r>
    </w:p>
    <w:p>
      <w:pPr>
        <w:spacing w:after="0" w:line="176"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540"/>
        <w:spacing w:after="0" w:line="271" w:lineRule="auto"/>
        <w:rPr>
          <w:sz w:val="20"/>
          <w:szCs w:val="20"/>
          <w:color w:val="auto"/>
        </w:rPr>
      </w:pPr>
      <w:r>
        <w:rPr>
          <w:rFonts w:ascii="Arial" w:cs="Arial" w:eastAsia="Arial" w:hAnsi="Arial"/>
          <w:sz w:val="18"/>
          <w:szCs w:val="18"/>
          <w:color w:val="auto"/>
        </w:rPr>
        <w:t>result in material disallowances for incurred costs in the future. All audits of costs incurred on work performed through 2024 have been closed, and years thereafter remain open.</w:t>
      </w:r>
    </w:p>
    <w:p>
      <w:pPr>
        <w:spacing w:after="0" w:line="154" w:lineRule="exact"/>
        <w:rPr>
          <w:sz w:val="20"/>
          <w:szCs w:val="20"/>
          <w:color w:val="auto"/>
        </w:rPr>
      </w:pPr>
    </w:p>
    <w:p>
      <w:pPr>
        <w:ind w:firstLine="64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80" w:firstLine="636"/>
        <w:spacing w:after="0" w:line="243" w:lineRule="auto"/>
        <w:rPr>
          <w:sz w:val="20"/>
          <w:szCs w:val="20"/>
          <w:color w:val="auto"/>
        </w:rPr>
      </w:pPr>
      <w:r>
        <w:rPr>
          <w:rFonts w:ascii="Arial" w:cs="Arial" w:eastAsia="Arial" w:hAnsi="Arial"/>
          <w:sz w:val="18"/>
          <w:szCs w:val="18"/>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September 30, 2026 and December 31, 2025, total shares of the</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Company’s common stock outstanding were 105,531,047 and 106,968,082, respectively, of which 48,528,639 and 50,864,117, respectively, were held by the ESOP.</w:t>
      </w:r>
    </w:p>
    <w:p>
      <w:pPr>
        <w:spacing w:after="0" w:line="149" w:lineRule="exact"/>
        <w:rPr>
          <w:sz w:val="20"/>
          <w:szCs w:val="20"/>
          <w:color w:val="auto"/>
        </w:rPr>
      </w:pPr>
    </w:p>
    <w:p>
      <w:pPr>
        <w:ind w:right="38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300" w:firstLine="644"/>
        <w:spacing w:after="0" w:line="255" w:lineRule="auto"/>
        <w:rPr>
          <w:sz w:val="20"/>
          <w:szCs w:val="20"/>
          <w:color w:val="auto"/>
        </w:rPr>
      </w:pPr>
      <w:r>
        <w:rPr>
          <w:rFonts w:ascii="Arial" w:cs="Arial" w:eastAsia="Arial" w:hAnsi="Arial"/>
          <w:sz w:val="18"/>
          <w:szCs w:val="18"/>
          <w:color w:val="auto"/>
        </w:rPr>
        <w:t>Total ESOP contribution expense was $20.7 million and $18.6 million for the three months ended September 30, 2026 and September 30, 2025, respectively and $59.8 million and $54.0 million for the nine months ended September 30, 2026 and September 30,</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2025, respectively. The expense is recorded in “Direct costs of contracts” and “Selling, general and administrative expense” in the consolidated statements of income. The fiscal 2026 ESOP contribution has not yet been made. The amount is currently included in accrued liabilities.</w:t>
      </w:r>
    </w:p>
    <w:p>
      <w:pPr>
        <w:spacing w:after="0" w:line="27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8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10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joint ventures are $166.1 million and $184.4 million at September 30, 2026 and December 31, 2025, respectively.</w:t>
      </w:r>
    </w:p>
    <w:p>
      <w:pPr>
        <w:spacing w:after="0" w:line="139" w:lineRule="exact"/>
        <w:rPr>
          <w:sz w:val="20"/>
          <w:szCs w:val="20"/>
          <w:color w:val="auto"/>
        </w:rPr>
      </w:pPr>
    </w:p>
    <w:p>
      <w:pPr>
        <w:jc w:val="both"/>
        <w:ind w:right="30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480,003</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542,877</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6,305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7,961</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486,308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550,838</w:t>
            </w:r>
          </w:p>
        </w:tc>
      </w:tr>
      <w:tr>
        <w:trPr>
          <w:trHeight w:val="20"/>
        </w:trPr>
        <w:tc>
          <w:tcPr>
            <w:tcW w:w="6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269,649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301,891</w:t>
            </w:r>
          </w:p>
        </w:tc>
      </w:tr>
      <w:tr>
        <w:trPr>
          <w:trHeight w:val="20"/>
        </w:trPr>
        <w:tc>
          <w:tcPr>
            <w:tcW w:w="6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3,076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3,417</w:t>
            </w:r>
          </w:p>
        </w:tc>
      </w:tr>
      <w:tr>
        <w:trPr>
          <w:trHeight w:val="20"/>
        </w:trPr>
        <w:tc>
          <w:tcPr>
            <w:tcW w:w="6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272,725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305,308</w:t>
            </w: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213,583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245,530</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-574040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-574040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3"/>
                <w:szCs w:val="13"/>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198,691</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213,752</w:t>
            </w:r>
          </w:p>
        </w:tc>
        <w:tc>
          <w:tcPr>
            <w:tcW w:w="640" w:type="dxa"/>
            <w:vAlign w:val="bottom"/>
            <w:gridSpan w:val="3"/>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577,638</w:t>
            </w:r>
          </w:p>
        </w:tc>
        <w:tc>
          <w:tcPr>
            <w:tcW w:w="86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602,905</w:t>
            </w:r>
          </w:p>
        </w:tc>
        <w:tc>
          <w:tcPr>
            <w:tcW w:w="120" w:type="dxa"/>
            <w:vAlign w:val="bottom"/>
            <w:shd w:val="clear" w:color="auto" w:fill="CFF0FC"/>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5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172,046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178,123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496,643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505,145</w:t>
            </w:r>
          </w:p>
        </w:tc>
        <w:tc>
          <w:tcPr>
            <w:tcW w:w="120" w:type="dxa"/>
            <w:vAlign w:val="bottom"/>
          </w:tcPr>
          <w:p>
            <w:pPr>
              <w:spacing w:after="0"/>
              <w:rPr>
                <w:sz w:val="17"/>
                <w:szCs w:val="17"/>
                <w:color w:val="auto"/>
              </w:rPr>
            </w:pPr>
          </w:p>
        </w:tc>
      </w:tr>
      <w:tr>
        <w:trPr>
          <w:trHeight w:val="21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26,645</w:t>
            </w:r>
          </w:p>
        </w:tc>
        <w:tc>
          <w:tcPr>
            <w:tcW w:w="88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35,629</w:t>
            </w:r>
          </w:p>
        </w:tc>
        <w:tc>
          <w:tcPr>
            <w:tcW w:w="640" w:type="dxa"/>
            <w:vAlign w:val="bottom"/>
            <w:gridSpan w:val="3"/>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80,995</w:t>
            </w:r>
          </w:p>
        </w:tc>
        <w:tc>
          <w:tcPr>
            <w:tcW w:w="860" w:type="dxa"/>
            <w:vAlign w:val="bottom"/>
            <w:gridSpan w:val="3"/>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97,760</w:t>
            </w:r>
          </w:p>
        </w:tc>
        <w:tc>
          <w:tcPr>
            <w:tcW w:w="120" w:type="dxa"/>
            <w:vAlign w:val="bottom"/>
            <w:shd w:val="clear" w:color="auto" w:fill="CFF0FC"/>
          </w:tcPr>
          <w:p>
            <w:pPr>
              <w:spacing w:after="0"/>
              <w:rPr>
                <w:sz w:val="18"/>
                <w:szCs w:val="18"/>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4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13,258</w:t>
            </w: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17,671</w:t>
            </w:r>
          </w:p>
        </w:tc>
        <w:tc>
          <w:tcPr>
            <w:tcW w:w="6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40,297</w:t>
            </w:r>
          </w:p>
        </w:tc>
        <w:tc>
          <w:tcPr>
            <w:tcW w:w="86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48,514</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-176530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-159385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-176530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-176530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-159385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 The liabilities of the consolidated joint ventures are obligations of the respective joint ventures, and creditors of these joint ventures do not have recourse to the general credit of the Company.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September 30, 2026</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8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1,373,495</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1,549,367</w:t>
            </w:r>
          </w:p>
        </w:tc>
        <w:tc>
          <w:tcPr>
            <w:tcW w:w="12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411,609</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439,496</w:t>
            </w:r>
          </w:p>
        </w:tc>
        <w:tc>
          <w:tcPr>
            <w:tcW w:w="120" w:type="dxa"/>
            <w:vAlign w:val="bottom"/>
          </w:tcPr>
          <w:p>
            <w:pPr>
              <w:spacing w:after="0"/>
              <w:rPr>
                <w:sz w:val="17"/>
                <w:szCs w:val="17"/>
                <w:color w:val="auto"/>
              </w:rPr>
            </w:pPr>
          </w:p>
        </w:tc>
      </w:tr>
      <w:tr>
        <w:trPr>
          <w:trHeight w:val="196"/>
        </w:trPr>
        <w:tc>
          <w:tcPr>
            <w:tcW w:w="554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1,785,104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1,988,863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843,237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1,046,970</w:t>
            </w:r>
          </w:p>
        </w:tc>
        <w:tc>
          <w:tcPr>
            <w:tcW w:w="120" w:type="dxa"/>
            <w:vAlign w:val="bottom"/>
          </w:tcPr>
          <w:p>
            <w:pPr>
              <w:spacing w:after="0"/>
              <w:rPr>
                <w:sz w:val="17"/>
                <w:szCs w:val="17"/>
                <w:color w:val="auto"/>
              </w:rPr>
            </w:pPr>
          </w:p>
        </w:tc>
      </w:tr>
      <w:tr>
        <w:trPr>
          <w:trHeight w:val="203"/>
        </w:trPr>
        <w:tc>
          <w:tcPr>
            <w:tcW w:w="5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458,554</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469,833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1,301,791</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1,516,803</w:t>
            </w:r>
          </w:p>
        </w:tc>
        <w:tc>
          <w:tcPr>
            <w:tcW w:w="120" w:type="dxa"/>
            <w:vAlign w:val="bottom"/>
          </w:tcPr>
          <w:p>
            <w:pPr>
              <w:spacing w:after="0"/>
              <w:rPr>
                <w:sz w:val="17"/>
                <w:szCs w:val="17"/>
                <w:color w:val="auto"/>
              </w:rPr>
            </w:pPr>
          </w:p>
        </w:tc>
      </w:tr>
      <w:tr>
        <w:trPr>
          <w:trHeight w:val="216"/>
        </w:trPr>
        <w:tc>
          <w:tcPr>
            <w:tcW w:w="55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8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483,313</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472,060</w:t>
            </w:r>
          </w:p>
        </w:tc>
        <w:tc>
          <w:tcPr>
            <w:tcW w:w="120" w:type="dxa"/>
            <w:vAlign w:val="bottom"/>
            <w:shd w:val="clear" w:color="auto" w:fill="CFF0FC"/>
          </w:tcPr>
          <w:p>
            <w:pPr>
              <w:spacing w:after="0"/>
              <w:rPr>
                <w:sz w:val="18"/>
                <w:szCs w:val="18"/>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174,764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148,640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-721995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-721995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-455930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-455930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-181610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-164465</wp:posOffset>
            </wp:positionV>
            <wp:extent cx="603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-181610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-164465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7"/>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8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7"/>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76"/>
              <w:spacing w:after="0" w:line="147" w:lineRule="exact"/>
              <w:rPr>
                <w:sz w:val="20"/>
                <w:szCs w:val="20"/>
                <w:color w:val="auto"/>
              </w:rPr>
            </w:pPr>
            <w:r>
              <w:rPr>
                <w:rFonts w:ascii="Arial" w:cs="Arial" w:eastAsia="Arial" w:hAnsi="Arial"/>
                <w:sz w:val="14"/>
                <w:szCs w:val="14"/>
                <w:b w:val="1"/>
                <w:bCs w:val="1"/>
                <w:color w:val="auto"/>
              </w:rPr>
              <w:t>September 30,</w:t>
            </w:r>
          </w:p>
        </w:tc>
        <w:tc>
          <w:tcPr>
            <w:tcW w:w="680" w:type="dxa"/>
            <w:vAlign w:val="bottom"/>
            <w:gridSpan w:val="2"/>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599,294</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608,305</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1,331,238</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1,558,656</w:t>
            </w:r>
          </w:p>
        </w:tc>
        <w:tc>
          <w:tcPr>
            <w:tcW w:w="1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40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551,887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563,832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1,318,855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1,476,009</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4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47,407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44,473</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12,383</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82,647</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19"/>
        </w:trPr>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7,242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8,266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(20,350)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6,937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16"/>
        </w:trPr>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41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-1053465</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-1036320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-1053465</wp:posOffset>
            </wp:positionV>
            <wp:extent cx="59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-1036320</wp:posOffset>
            </wp:positionV>
            <wp:extent cx="596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-1053465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-1036320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-1053465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-1036320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7" w:name="page28"/>
    <w:bookmarkEnd w:id="27"/>
    <w:p>
      <w:pPr>
        <w:ind w:right="160" w:firstLine="636"/>
        <w:spacing w:after="0" w:line="253" w:lineRule="auto"/>
        <w:rPr>
          <w:sz w:val="20"/>
          <w:szCs w:val="20"/>
          <w:color w:val="auto"/>
        </w:rPr>
      </w:pPr>
      <w:r>
        <w:rPr>
          <w:rFonts w:ascii="Arial" w:cs="Arial" w:eastAsia="Arial" w:hAnsi="Arial"/>
          <w:sz w:val="18"/>
          <w:szCs w:val="18"/>
          <w:color w:val="auto"/>
        </w:rPr>
        <w:t>The Company had net contributions to its unconsolidated joint ventures of $14.3 million and $0.2 million for the three months ended September 30, 2026 and September 30, 2025, respectively and $50.5 million and $7.5 million for the nine months ended September 30, 2026 and September 30, 2025, respectively.</w:t>
      </w:r>
    </w:p>
    <w:p>
      <w:pPr>
        <w:spacing w:after="0" w:line="155" w:lineRule="exact"/>
        <w:rPr>
          <w:sz w:val="20"/>
          <w:szCs w:val="20"/>
          <w:color w:val="auto"/>
        </w:rPr>
      </w:pPr>
    </w:p>
    <w:p>
      <w:pPr>
        <w:jc w:val="both"/>
        <w:ind w:right="120" w:firstLine="636"/>
        <w:spacing w:after="0" w:line="253" w:lineRule="auto"/>
        <w:rPr>
          <w:sz w:val="20"/>
          <w:szCs w:val="20"/>
          <w:color w:val="auto"/>
        </w:rPr>
      </w:pPr>
      <w:r>
        <w:rPr>
          <w:rFonts w:ascii="Arial" w:cs="Arial" w:eastAsia="Arial" w:hAnsi="Arial"/>
          <w:sz w:val="18"/>
          <w:szCs w:val="18"/>
          <w:color w:val="auto"/>
        </w:rPr>
        <w:t>The following table presents certain financial statement impacts from changes in estimates on an unconsolidated joint venture in the Critical Infrastructure segment, driven by increases in costs to complete. In certain instances, revisions in estimates on unconsolidated joint ventures do not exceed the threshold in any particular quarter but exceed the threshold on a year-to-date basis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3"/>
                <w:szCs w:val="13"/>
                <w:color w:val="auto"/>
              </w:rPr>
            </w:pPr>
          </w:p>
        </w:tc>
      </w:tr>
      <w:tr>
        <w:trPr>
          <w:trHeight w:val="196"/>
        </w:trPr>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2020" w:type="dxa"/>
            <w:vAlign w:val="bottom"/>
            <w:gridSpan w:val="2"/>
            <w:shd w:val="clear" w:color="auto" w:fill="CFF0FC"/>
          </w:tcPr>
          <w:p>
            <w:pPr>
              <w:jc w:val="right"/>
              <w:ind w:right="24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(40,854)</w:t>
            </w:r>
          </w:p>
        </w:tc>
        <w:tc>
          <w:tcPr>
            <w:tcW w:w="740" w:type="dxa"/>
            <w:vAlign w:val="bottom"/>
            <w:gridSpan w:val="2"/>
            <w:shd w:val="clear" w:color="auto" w:fill="CFF0FC"/>
          </w:tcPr>
          <w:p>
            <w:pPr>
              <w:ind w:left="8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(14,478)</w:t>
            </w: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(35,053)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(10,869)</w:t>
            </w:r>
          </w:p>
        </w:tc>
      </w:tr>
      <w:tr>
        <w:trPr>
          <w:trHeight w:val="203"/>
        </w:trPr>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loss per share</w:t>
            </w:r>
          </w:p>
        </w:tc>
        <w:tc>
          <w:tcPr>
            <w:tcW w:w="2020" w:type="dxa"/>
            <w:vAlign w:val="bottom"/>
            <w:gridSpan w:val="2"/>
            <w:shd w:val="clear" w:color="auto" w:fill="CFF0FC"/>
          </w:tcPr>
          <w:p>
            <w:pPr>
              <w:jc w:val="right"/>
              <w:ind w:right="248"/>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2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(0.33)</w:t>
            </w:r>
          </w:p>
        </w:tc>
        <w:tc>
          <w:tcPr>
            <w:tcW w:w="740" w:type="dxa"/>
            <w:vAlign w:val="bottom"/>
            <w:gridSpan w:val="2"/>
            <w:shd w:val="clear" w:color="auto" w:fill="CFF0FC"/>
          </w:tcPr>
          <w:p>
            <w:pPr>
              <w:ind w:left="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(0.10)</w:t>
            </w:r>
          </w:p>
        </w:tc>
      </w:tr>
    </w:tbl>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jc w:val="both"/>
        <w:ind w:right="20" w:firstLine="636"/>
        <w:spacing w:after="0" w:line="247" w:lineRule="auto"/>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September 30, 2026 and September 30, 2025 were $44.8 million and $56.9 million, respectively and for the nine months ended September 30, 2026 and September 30, 2025 were $141.1 million and $144.3 million, respectively.</w:t>
      </w:r>
    </w:p>
    <w:p>
      <w:pPr>
        <w:spacing w:after="0" w:line="6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For the three months ended September 30, 2026 and September 30, 2025, the Company incurred reimbursable costs of $33.5 million and $36.4 million, respectively and for the nine months ended September 30, 2026 and September 30, 2025 were $100.8 million and $104.2 million, respectively.</w:t>
      </w:r>
    </w:p>
    <w:p>
      <w:pPr>
        <w:spacing w:after="0" w:line="155" w:lineRule="exact"/>
        <w:rPr>
          <w:sz w:val="20"/>
          <w:szCs w:val="20"/>
          <w:color w:val="auto"/>
        </w:rPr>
      </w:pPr>
    </w:p>
    <w:p>
      <w:pPr>
        <w:ind w:right="80" w:firstLine="644"/>
        <w:spacing w:after="0" w:line="271" w:lineRule="auto"/>
        <w:rPr>
          <w:sz w:val="20"/>
          <w:szCs w:val="20"/>
          <w:color w:val="auto"/>
        </w:rPr>
      </w:pPr>
      <w:r>
        <w:rPr>
          <w:rFonts w:ascii="Arial" w:cs="Arial" w:eastAsia="Arial" w:hAnsi="Arial"/>
          <w:sz w:val="18"/>
          <w:szCs w:val="18"/>
          <w:color w:val="auto"/>
        </w:rPr>
        <w:t>Amounts included in the consolidated balance sheets related to services the Company provided to unconsolidated joint ventures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48,045</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45,116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100" w:type="dxa"/>
            <w:vAlign w:val="bottom"/>
          </w:tcPr>
          <w:p>
            <w:pPr>
              <w:spacing w:after="0"/>
              <w:rPr>
                <w:sz w:val="17"/>
                <w:szCs w:val="17"/>
                <w:color w:val="auto"/>
              </w:rPr>
            </w:pPr>
          </w:p>
        </w:tc>
        <w:tc>
          <w:tcPr>
            <w:tcW w:w="1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22,111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29,283</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6,160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7,297</w:t>
            </w: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September 30, 2026 and December 31, 2025,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Fair value is determined by using one or more of the following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00" w:hanging="248"/>
        <w:spacing w:after="0" w:line="270" w:lineRule="auto"/>
        <w:tabs>
          <w:tab w:leader="none" w:pos="9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420"/>
        <w:spacing w:after="0" w:line="271" w:lineRule="auto"/>
        <w:rPr>
          <w:sz w:val="20"/>
          <w:szCs w:val="20"/>
          <w:color w:val="auto"/>
        </w:rPr>
      </w:pPr>
      <w:r>
        <w:rPr>
          <w:rFonts w:ascii="Arial" w:cs="Arial" w:eastAsia="Arial" w:hAnsi="Arial"/>
          <w:sz w:val="18"/>
          <w:szCs w:val="18"/>
          <w:color w:val="auto"/>
        </w:rPr>
        <w:t>identical assets and liabilities (Level 1 measurements) and the lowest priority to unobservable inputs (Level 3 measurements). The three levels of the fair value hierarchy are: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Unadjusted quoted prices in active markets that are accessible at the measurement date for identical assets and liabilities;</w:t>
      </w:r>
    </w:p>
    <w:p>
      <w:pPr>
        <w:spacing w:after="0" w:line="104" w:lineRule="exact"/>
        <w:rPr>
          <w:sz w:val="20"/>
          <w:szCs w:val="20"/>
          <w:color w:val="auto"/>
        </w:rPr>
      </w:pPr>
    </w:p>
    <w:p>
      <w:pPr>
        <w:ind w:left="900" w:right="80" w:hanging="253"/>
        <w:spacing w:after="0" w:line="271" w:lineRule="auto"/>
        <w:rPr>
          <w:sz w:val="20"/>
          <w:szCs w:val="20"/>
          <w:color w:val="auto"/>
        </w:rPr>
      </w:pPr>
      <w:r>
        <w:rPr>
          <w:rFonts w:ascii="Arial" w:cs="Arial" w:eastAsia="Arial" w:hAnsi="Arial"/>
          <w:sz w:val="18"/>
          <w:szCs w:val="18"/>
          <w:color w:val="auto"/>
        </w:rPr>
        <w:t>Level 2 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Financial assets and liabilities measured at fair value on a quarterly basis are as follows: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as of September 30, 2026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96"/>
        </w:trPr>
        <w:tc>
          <w:tcPr>
            <w:tcW w:w="3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Contingent consideration</w:t>
            </w:r>
          </w:p>
        </w:tc>
        <w:tc>
          <w:tcPr>
            <w:tcW w:w="168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820" w:type="dxa"/>
            <w:vAlign w:val="bottom"/>
          </w:tcPr>
          <w:p>
            <w:pPr>
              <w:ind w:left="80"/>
              <w:spacing w:after="0" w:line="202" w:lineRule="exact"/>
              <w:rPr>
                <w:sz w:val="20"/>
                <w:szCs w:val="20"/>
                <w:color w:val="auto"/>
              </w:rPr>
            </w:pPr>
            <w:r>
              <w:rPr>
                <w:rFonts w:ascii="Arial" w:cs="Arial" w:eastAsia="Arial" w:hAnsi="Arial"/>
                <w:sz w:val="18"/>
                <w:szCs w:val="18"/>
                <w:color w:val="auto"/>
              </w:rPr>
              <w:t>Earnout liability</w:t>
            </w:r>
          </w:p>
        </w:tc>
        <w:tc>
          <w:tcPr>
            <w:tcW w:w="1680" w:type="dxa"/>
            <w:vAlign w:val="bottom"/>
          </w:tcPr>
          <w:p>
            <w:pPr>
              <w:spacing w:after="0"/>
              <w:rPr>
                <w:sz w:val="17"/>
                <w:szCs w:val="17"/>
                <w:color w:val="auto"/>
              </w:rPr>
            </w:pPr>
          </w:p>
        </w:tc>
        <w:tc>
          <w:tcPr>
            <w:tcW w:w="1020" w:type="dxa"/>
            <w:vAlign w:val="bottom"/>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28"/>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14,223</w:t>
            </w: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14,223</w:t>
            </w:r>
          </w:p>
        </w:tc>
        <w:tc>
          <w:tcPr>
            <w:tcW w:w="10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liabilities at fair value</w:t>
            </w:r>
          </w:p>
        </w:tc>
        <w:tc>
          <w:tcPr>
            <w:tcW w:w="16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828"/>
              <w:spacing w:after="0" w:line="18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14,223</w:t>
            </w:r>
          </w:p>
        </w:tc>
        <w:tc>
          <w:tcPr>
            <w:tcW w:w="4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14,223</w:t>
            </w:r>
          </w:p>
        </w:tc>
        <w:tc>
          <w:tcPr>
            <w:tcW w:w="100" w:type="dxa"/>
            <w:vAlign w:val="bottom"/>
            <w:shd w:val="clear" w:color="auto" w:fill="CFF0FC"/>
          </w:tcPr>
          <w:p>
            <w:pPr>
              <w:spacing w:after="0"/>
              <w:rPr>
                <w:sz w:val="18"/>
                <w:szCs w:val="18"/>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4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4"/>
                <w:szCs w:val="14"/>
                <w:color w:val="auto"/>
              </w:rPr>
            </w:pPr>
          </w:p>
        </w:tc>
        <w:tc>
          <w:tcPr>
            <w:tcW w:w="266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2025</w:t>
            </w:r>
          </w:p>
        </w:tc>
      </w:tr>
      <w:tr>
        <w:trPr>
          <w:trHeight w:val="171"/>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6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52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2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753,040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800,000</w:t>
            </w: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825,680</w:t>
            </w:r>
          </w:p>
        </w:tc>
        <w:tc>
          <w:tcPr>
            <w:tcW w:w="12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Term loan due 2028</w:t>
            </w:r>
          </w:p>
        </w:tc>
        <w:tc>
          <w:tcPr>
            <w:tcW w:w="2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4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w:t>
            </w:r>
          </w:p>
        </w:tc>
        <w:tc>
          <w:tcPr>
            <w:tcW w:w="12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Revolving credit facility</w:t>
            </w:r>
          </w:p>
        </w:tc>
        <w:tc>
          <w:tcPr>
            <w:tcW w:w="15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116,000</w:t>
            </w: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116,000</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1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1,366,000</w:t>
            </w:r>
          </w:p>
        </w:tc>
        <w:tc>
          <w:tcPr>
            <w:tcW w:w="1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1,319,040</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1,250,000</w:t>
            </w:r>
          </w:p>
        </w:tc>
        <w:tc>
          <w:tcPr>
            <w:tcW w:w="14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   1,275,680</w:t>
            </w:r>
          </w:p>
        </w:tc>
        <w:tc>
          <w:tcPr>
            <w:tcW w:w="12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ind w:left="1540" w:right="120" w:hanging="514"/>
        <w:spacing w:after="0" w:line="271"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shares have been included in the denominator of diluted EPS. The principal amount of convertible debt will be settled in cash with any excess conversion value settled in cash or shares of common stock.</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and nine months ended September 30, 2026 and September 30, 2025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ind w:lef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4"/>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13"/>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4"/>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33"/>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Numerator for Basic and Diluted EPS: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 - 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54,153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64,123</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91,860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line="183" w:lineRule="exact"/>
              <w:rPr>
                <w:sz w:val="20"/>
                <w:szCs w:val="20"/>
                <w:color w:val="auto"/>
              </w:rPr>
            </w:pPr>
            <w:r>
              <w:rPr>
                <w:rFonts w:ascii="Arial" w:cs="Arial" w:eastAsia="Arial" w:hAnsi="Arial"/>
                <w:sz w:val="18"/>
                <w:szCs w:val="18"/>
                <w:color w:val="auto"/>
              </w:rPr>
              <w:t>Convertible senior notes if-converted method interest</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8"/>
                <w:szCs w:val="18"/>
                <w:color w:val="auto"/>
              </w:rPr>
              <w:t>adjustment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54,153</w:t>
            </w:r>
          </w:p>
        </w:tc>
        <w:tc>
          <w:tcPr>
            <w:tcW w:w="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64,150</w:t>
            </w:r>
          </w:p>
        </w:tc>
        <w:tc>
          <w:tcPr>
            <w:tcW w:w="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91,860</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516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105,966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106,763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106,710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Dilutive effect of stock-based awards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 of warrants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 due 2025</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631</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106,755</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109,078</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107,574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16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0.51</w:t>
            </w:r>
          </w:p>
        </w:tc>
        <w:tc>
          <w:tcPr>
            <w:tcW w:w="3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0.60</w:t>
            </w:r>
          </w:p>
        </w:tc>
        <w:tc>
          <w:tcPr>
            <w:tcW w:w="3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0.86</w:t>
            </w:r>
          </w:p>
        </w:tc>
        <w:tc>
          <w:tcPr>
            <w:tcW w:w="3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0.51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-1574165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-1557020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-1574165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-1557020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-1574165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-1557020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-1574165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-1557020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-596900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-579755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-596900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-579755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-596900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-579755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-596900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-579755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 w:lineRule="exact"/>
        <w:rPr>
          <w:sz w:val="20"/>
          <w:szCs w:val="20"/>
          <w:color w:val="auto"/>
        </w:rPr>
      </w:pPr>
    </w:p>
    <w:p>
      <w:pPr>
        <w:ind w:right="100" w:firstLine="644"/>
        <w:spacing w:after="0" w:line="253"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September 30, 2026 and September 30, 2025 were 76,503 and 2,521, respectively and for the nine months ended September 30, 2026 and September 30, 2025 were 49,211 and 13,248,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Repurchases made by the Company during the first quarter of 2025 were deducted from the reset capacity. In July 2026, the Board further amended this authorization to increase the repurchase capacity by an additional $250 million.</w:t>
      </w:r>
    </w:p>
    <w:p>
      <w:pPr>
        <w:spacing w:after="0" w:line="71"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the March 2025 authorization, and July 2026 authorization as of September 30, 2026 was not greater than $579.7 million.</w:t>
      </w:r>
    </w:p>
    <w:p>
      <w:pPr>
        <w:spacing w:after="0" w:line="61" w:lineRule="exact"/>
        <w:rPr>
          <w:sz w:val="20"/>
          <w:szCs w:val="20"/>
          <w:color w:val="auto"/>
        </w:rPr>
      </w:pPr>
    </w:p>
    <w:p>
      <w:pPr>
        <w:ind w:right="260" w:firstLine="644"/>
        <w:spacing w:after="0" w:line="271" w:lineRule="auto"/>
        <w:rPr>
          <w:sz w:val="20"/>
          <w:szCs w:val="20"/>
          <w:color w:val="auto"/>
        </w:rPr>
      </w:pPr>
      <w:r>
        <w:rPr>
          <w:rFonts w:ascii="Arial" w:cs="Arial" w:eastAsia="Arial" w:hAnsi="Arial"/>
          <w:sz w:val="18"/>
          <w:szCs w:val="18"/>
          <w:color w:val="auto"/>
        </w:rPr>
        <w:t>As of September 30, 2026, the Company has spent $314.7 million (which includes commissions paid of $0.1 million) repurchasing 5,709,204 shares of common stock at an average price of $55.12 per share.</w:t>
      </w:r>
    </w:p>
    <w:p>
      <w:pPr>
        <w:spacing w:after="0" w:line="46" w:lineRule="exact"/>
        <w:rPr>
          <w:sz w:val="20"/>
          <w:szCs w:val="20"/>
          <w:color w:val="auto"/>
        </w:rPr>
      </w:pPr>
    </w:p>
    <w:p>
      <w:pPr>
        <w:ind w:right="140" w:firstLine="644"/>
        <w:spacing w:after="0" w:line="247"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280"/>
        <w:spacing w:after="0" w:line="271" w:lineRule="auto"/>
        <w:rPr>
          <w:sz w:val="20"/>
          <w:szCs w:val="20"/>
          <w:color w:val="auto"/>
        </w:rPr>
      </w:pPr>
      <w:r>
        <w:rPr>
          <w:rFonts w:ascii="Arial" w:cs="Arial" w:eastAsia="Arial" w:hAnsi="Arial"/>
          <w:sz w:val="18"/>
          <w:szCs w:val="18"/>
          <w:color w:val="auto"/>
        </w:rPr>
        <w:t>circumstances, availability of investment opportunities, the availability and costs of financing, the market price of the Company's common stock, other uses of capital and other factors.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8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7"/>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4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shares repurchased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1,294,695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323,175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2,173,355</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965,940</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1,294,695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323,175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2,173,355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965,940</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 (1)</w:t>
            </w:r>
          </w:p>
        </w:tc>
        <w:tc>
          <w:tcPr>
            <w:tcW w:w="2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46.34</w:t>
            </w:r>
          </w:p>
        </w:tc>
        <w:tc>
          <w:tcPr>
            <w:tcW w:w="4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77.36</w:t>
            </w:r>
          </w:p>
        </w:tc>
        <w:tc>
          <w:tcPr>
            <w:tcW w:w="420" w:type="dxa"/>
            <w:vAlign w:val="bottom"/>
            <w:gridSpan w:val="2"/>
            <w:shd w:val="clear" w:color="auto" w:fill="CFF0FC"/>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50.61</w:t>
            </w:r>
          </w:p>
        </w:tc>
        <w:tc>
          <w:tcPr>
            <w:tcW w:w="46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67.29</w:t>
            </w:r>
          </w:p>
        </w:tc>
        <w:tc>
          <w:tcPr>
            <w:tcW w:w="100" w:type="dxa"/>
            <w:vAlign w:val="bottom"/>
            <w:shd w:val="clear" w:color="auto" w:fill="CFF0FC"/>
          </w:tcPr>
          <w:p>
            <w:pPr>
              <w:spacing w:after="0"/>
              <w:rPr>
                <w:sz w:val="17"/>
                <w:szCs w:val="17"/>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Includes commissions in the calculation of average price per share</w:t>
      </w:r>
    </w:p>
    <w:p>
      <w:pPr>
        <w:spacing w:after="0" w:line="32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Federal Solutions segment provides advanced technical solutions to the U.S. government, delivering timely, cost-effective</w:t>
      </w:r>
    </w:p>
    <w:p>
      <w:pPr>
        <w:spacing w:after="0" w:line="14" w:lineRule="exact"/>
        <w:rPr>
          <w:sz w:val="20"/>
          <w:szCs w:val="20"/>
          <w:color w:val="auto"/>
        </w:rPr>
      </w:pPr>
    </w:p>
    <w:p>
      <w:pPr>
        <w:jc w:val="both"/>
        <w:ind w:right="280"/>
        <w:spacing w:after="0" w:line="242" w:lineRule="auto"/>
        <w:rPr>
          <w:sz w:val="20"/>
          <w:szCs w:val="20"/>
          <w:color w:val="auto"/>
        </w:rPr>
      </w:pPr>
      <w:r>
        <w:rPr>
          <w:rFonts w:ascii="Arial" w:cs="Arial" w:eastAsia="Arial" w:hAnsi="Arial"/>
          <w:sz w:val="18"/>
          <w:szCs w:val="18"/>
          <w:color w:val="auto"/>
        </w:rPr>
        <w:t>hardware, software and solutions for mission-critical projects. The segment provides advanced technologies, supporting national security missions in cyber operations, missile defense, space, electronic warfare and facility modernization, hazardous material remediation, and engineering services.</w:t>
      </w:r>
    </w:p>
    <w:p>
      <w:pPr>
        <w:spacing w:after="0" w:line="17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design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16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17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185" w:lineRule="exact"/>
        <w:rPr>
          <w:sz w:val="20"/>
          <w:szCs w:val="20"/>
          <w:color w:val="auto"/>
        </w:rPr>
      </w:pPr>
    </w:p>
    <w:p>
      <w:pPr>
        <w:jc w:val="both"/>
        <w:ind w:right="120" w:firstLine="644"/>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1" w:name="page32"/>
    <w:bookmarkEnd w:id="31"/>
    <w:p>
      <w:pPr>
        <w:ind w:firstLine="644"/>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804,553</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845,995</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1,650,548</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(621,008)</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(647,473)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(1,268,481)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(52,570)</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(48,376)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(100,946)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5,455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7,242</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(58,636)</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(75,347)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(133,983)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74,126</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80,254</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154,380</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13,463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(34,118)</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(15,437)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(20,446)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(11,518)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(16,180)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(2,733)</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67,411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(13,258)</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54,153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551"/>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788,607</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833,141</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(612,500)</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(649,393)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(1,261,893)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(47,980)</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(44,259)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(92,239)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7,280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8,266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(56,612)</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(78,966)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(135,578)</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72,501</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67,803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140,304</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17,833</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(29,849)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(11,696)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(16,035)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(11,568)</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(5,074)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(292)</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(1,829)</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81,794</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(17,671)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64,123</w:t>
            </w:r>
          </w:p>
        </w:tc>
        <w:tc>
          <w:tcPr>
            <w:tcW w:w="100" w:type="dxa"/>
            <w:vAlign w:val="bottom"/>
            <w:tcBorders>
              <w:top w:val="single" w:sz="8" w:color="CFF0FC"/>
            </w:tcBorders>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-5777230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-5777230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-2742565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-2742565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2,323,769</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2,393,822</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4,717,591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(1,874,091)</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(1,808,775)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(3,682,866)</w:t>
            </w:r>
          </w:p>
        </w:tc>
      </w:tr>
      <w:tr>
        <w:trPr>
          <w:trHeight w:val="202"/>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(147,818)</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(144,641)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(292,459)</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5,030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(25,380)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(20,350)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(174,997)</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(226,864)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(401,861)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131,893</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188,162</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320,055</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40,937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(106,681)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(45,445)</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(40,755)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(31,049)</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(17,493)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60" w:type="dxa"/>
            <w:vAlign w:val="bottom"/>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132,157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(40,297)</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91,860</w:t>
            </w:r>
          </w:p>
        </w:tc>
        <w:tc>
          <w:tcPr>
            <w:tcW w:w="100" w:type="dxa"/>
            <w:vAlign w:val="bottom"/>
            <w:tcBorders>
              <w:top w:val="single" w:sz="8" w:color="CFF0FC"/>
            </w:tcBorders>
          </w:tcPr>
          <w:p>
            <w:pPr>
              <w:spacing w:after="0"/>
              <w:rPr>
                <w:sz w:val="17"/>
                <w:szCs w:val="17"/>
                <w:color w:val="auto"/>
              </w:rPr>
            </w:pPr>
          </w:p>
        </w:tc>
      </w:tr>
      <w:tr>
        <w:trPr>
          <w:trHeight w:val="349"/>
        </w:trPr>
        <w:tc>
          <w:tcPr>
            <w:tcW w:w="5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September 30,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Federal</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Solutions</w:t>
            </w: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2,436,628</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2,323,803</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(1,917,218)</w:t>
            </w:r>
          </w:p>
        </w:tc>
        <w:tc>
          <w:tcPr>
            <w:tcW w:w="36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(1,781,022)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(3,698,240)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(136,604)</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(138,938)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(275,542)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of unconsolidated joint ventures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983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5,954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6,937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(168,684)</w:t>
            </w: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(217,614)</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(386,298)</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215,105</w:t>
            </w: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59"/>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192,183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407,288</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48,756</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(85,844)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(33,301)</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(53,702)</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(30,190)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(13,910)</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Restructuring expense (e)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(2,653)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(2,374)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234,070</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(48,514)</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185,556</w:t>
            </w:r>
          </w:p>
        </w:tc>
        <w:tc>
          <w:tcPr>
            <w:tcW w:w="100" w:type="dxa"/>
            <w:vAlign w:val="bottom"/>
            <w:tcBorders>
              <w:top w:val="single" w:sz="8" w:color="CFF0FC"/>
            </w:tcBorders>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-5777230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-5777230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-5777230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-4079875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-2742565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-2742565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3" w:lineRule="exact"/>
        <w:rPr>
          <w:rFonts w:ascii="Arial" w:cs="Arial" w:eastAsia="Arial" w:hAnsi="Arial"/>
          <w:sz w:val="18"/>
          <w:szCs w:val="18"/>
          <w:color w:val="auto"/>
        </w:rPr>
      </w:pPr>
    </w:p>
    <w:p>
      <w:pPr>
        <w:ind w:left="660" w:right="30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2" w:lineRule="exact"/>
        <w:rPr>
          <w:rFonts w:ascii="Arial" w:cs="Arial" w:eastAsia="Arial" w:hAnsi="Arial"/>
          <w:sz w:val="18"/>
          <w:szCs w:val="18"/>
          <w:color w:val="auto"/>
        </w:rPr>
      </w:pP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Bad debt expense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Sublease income</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Foreign currency gain/loss, and</w:t>
      </w:r>
    </w:p>
    <w:p>
      <w:pPr>
        <w:ind w:left="1420" w:hanging="514"/>
        <w:spacing w:after="0" w:line="23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ind w:left="660" w:right="8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right="140" w:hanging="652"/>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businesses and sale of fixed assets, software implementation costs, and other individually insignificant items that are non-recurring in nature.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and related to our corporate restructuring in initiatives.</w:t>
      </w:r>
    </w:p>
    <w:p>
      <w:pPr>
        <w:spacing w:after="0" w:line="39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tcPr>
          <w:p>
            <w:pPr>
              <w:ind w:left="5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6"/>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68"/>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040" w:type="dxa"/>
            <w:vAlign w:val="bottom"/>
            <w:tcBorders>
              <w:top w:val="single" w:sz="8" w:color="auto"/>
            </w:tcBorders>
            <w:gridSpan w:val="3"/>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72"/>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North America</w:t>
            </w:r>
          </w:p>
        </w:tc>
        <w:tc>
          <w:tcPr>
            <w:tcW w:w="17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1,339,507</w:t>
            </w:r>
          </w:p>
        </w:tc>
        <w:tc>
          <w:tcPr>
            <w:tcW w:w="48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1,313,775</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3,827,218</w:t>
            </w:r>
          </w:p>
        </w:tc>
        <w:tc>
          <w:tcPr>
            <w:tcW w:w="4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3,907,105</w:t>
            </w:r>
          </w:p>
        </w:tc>
        <w:tc>
          <w:tcPr>
            <w:tcW w:w="100" w:type="dxa"/>
            <w:vAlign w:val="bottom"/>
          </w:tcPr>
          <w:p>
            <w:pPr>
              <w:spacing w:after="0"/>
              <w:rPr>
                <w:sz w:val="17"/>
                <w:szCs w:val="17"/>
                <w:color w:val="auto"/>
              </w:rPr>
            </w:pPr>
          </w:p>
        </w:tc>
      </w:tr>
      <w:tr>
        <w:trPr>
          <w:trHeight w:val="203"/>
        </w:trPr>
        <w:tc>
          <w:tcPr>
            <w:tcW w:w="42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Middle East</w:t>
            </w: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306,462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302,886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875,850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838,656</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ind w:left="160"/>
              <w:spacing w:after="0" w:line="202" w:lineRule="exact"/>
              <w:rPr>
                <w:sz w:val="20"/>
                <w:szCs w:val="20"/>
                <w:color w:val="auto"/>
              </w:rPr>
            </w:pPr>
            <w:r>
              <w:rPr>
                <w:rFonts w:ascii="Arial" w:cs="Arial" w:eastAsia="Arial" w:hAnsi="Arial"/>
                <w:sz w:val="18"/>
                <w:szCs w:val="18"/>
                <w:color w:val="auto"/>
              </w:rPr>
              <w:t>Rest of World</w:t>
            </w:r>
          </w:p>
        </w:tc>
        <w:tc>
          <w:tcPr>
            <w:tcW w:w="1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4,579</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5,087</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14,523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14,670</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1,650,548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1,621,748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4,717,591</w:t>
            </w:r>
          </w:p>
        </w:tc>
        <w:tc>
          <w:tcPr>
            <w:tcW w:w="48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4,760,431</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7"/>
        </w:trPr>
        <w:tc>
          <w:tcPr>
            <w:tcW w:w="7360" w:type="dxa"/>
            <w:vAlign w:val="bottom"/>
            <w:gridSpan w:val="6"/>
          </w:tcPr>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24"/>
                <w:szCs w:val="2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4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ind w:left="200"/>
              <w:spacing w:after="0" w:line="202" w:lineRule="exact"/>
              <w:rPr>
                <w:sz w:val="20"/>
                <w:szCs w:val="20"/>
                <w:color w:val="auto"/>
              </w:rPr>
            </w:pPr>
            <w:r>
              <w:rPr>
                <w:rFonts w:ascii="Arial" w:cs="Arial" w:eastAsia="Arial" w:hAnsi="Arial"/>
                <w:sz w:val="18"/>
                <w:szCs w:val="18"/>
                <w:color w:val="auto"/>
              </w:rPr>
              <w:t>North America</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155,087</w:t>
            </w:r>
          </w:p>
        </w:tc>
        <w:tc>
          <w:tcPr>
            <w:tcW w:w="2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137,894</w:t>
            </w:r>
          </w:p>
        </w:tc>
      </w:tr>
      <w:tr>
        <w:trPr>
          <w:trHeight w:val="203"/>
        </w:trPr>
        <w:tc>
          <w:tcPr>
            <w:tcW w:w="42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Middle East</w:t>
            </w:r>
          </w:p>
        </w:tc>
        <w:tc>
          <w:tcPr>
            <w:tcW w:w="14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13,199</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13,167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60" w:type="dxa"/>
            <w:vAlign w:val="bottom"/>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8"/>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168,286</w:t>
            </w:r>
          </w:p>
        </w:tc>
        <w:tc>
          <w:tcPr>
            <w:tcW w:w="2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151,061</w:t>
            </w:r>
          </w:p>
        </w:tc>
      </w:tr>
      <w:tr>
        <w:trPr>
          <w:trHeight w:val="20"/>
        </w:trPr>
        <w:tc>
          <w:tcPr>
            <w:tcW w:w="4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-1122045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-1104900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-1122045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-1104900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-1122045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-1104900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55" w:lineRule="auto"/>
        <w:rPr>
          <w:sz w:val="20"/>
          <w:szCs w:val="20"/>
          <w:color w:val="auto"/>
        </w:rPr>
      </w:pPr>
      <w:r>
        <w:rPr>
          <w:rFonts w:ascii="Arial" w:cs="Arial" w:eastAsia="Arial" w:hAnsi="Arial"/>
          <w:sz w:val="18"/>
          <w:szCs w:val="18"/>
          <w:color w:val="auto"/>
        </w:rPr>
        <w:t>North America includes revenue in the United States for the three months ended September 30, 2026 and September 30, 2025 of $1.2 billion and $1.2 billion, respectively and $3.5 billion and $3.5 billion for the nine months ended September 30, 2026 and September 30,</w:t>
      </w:r>
    </w:p>
    <w:p>
      <w:pPr>
        <w:spacing w:after="0" w:line="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2025, respectively. North America property and equipment, net includes $148.6 million and $130.5 million of property and equipment, net in the United States as of September 30, 2026 and December 31, 2025, respectively.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4"/>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2"/>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14"/>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2"/>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300"/>
              <w:spacing w:after="0" w:line="202" w:lineRule="exact"/>
              <w:rPr>
                <w:sz w:val="20"/>
                <w:szCs w:val="20"/>
                <w:color w:val="auto"/>
              </w:rPr>
            </w:pPr>
            <w:r>
              <w:rPr>
                <w:rFonts w:ascii="Arial" w:cs="Arial" w:eastAsia="Arial" w:hAnsi="Arial"/>
                <w:sz w:val="18"/>
                <w:szCs w:val="18"/>
                <w:color w:val="auto"/>
              </w:rPr>
              <w:t>Defense and Intelligence</w:t>
            </w:r>
          </w:p>
        </w:tc>
        <w:tc>
          <w:tcPr>
            <w:tcW w:w="118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536,542</w:t>
            </w:r>
          </w:p>
        </w:tc>
        <w:tc>
          <w:tcPr>
            <w:tcW w:w="48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468,935</w:t>
            </w:r>
          </w:p>
        </w:tc>
        <w:tc>
          <w:tcPr>
            <w:tcW w:w="4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1,570,296</w:t>
            </w:r>
          </w:p>
        </w:tc>
        <w:tc>
          <w:tcPr>
            <w:tcW w:w="48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1,369,832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Borders>
              <w:bottom w:val="single" w:sz="8" w:color="CFF0FC"/>
            </w:tcBorders>
            <w:shd w:val="clear" w:color="auto" w:fill="CFF0FC"/>
          </w:tcPr>
          <w:p>
            <w:pPr>
              <w:ind w:left="300"/>
              <w:spacing w:after="0" w:line="202" w:lineRule="exact"/>
              <w:rPr>
                <w:sz w:val="20"/>
                <w:szCs w:val="20"/>
                <w:color w:val="auto"/>
              </w:rPr>
            </w:pPr>
            <w:r>
              <w:rPr>
                <w:rFonts w:ascii="Arial" w:cs="Arial" w:eastAsia="Arial" w:hAnsi="Arial"/>
                <w:sz w:val="18"/>
                <w:szCs w:val="18"/>
                <w:color w:val="auto"/>
              </w:rPr>
              <w:t>Engineered Systems</w:t>
            </w:r>
          </w:p>
        </w:tc>
        <w:tc>
          <w:tcPr>
            <w:tcW w:w="9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268,011</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319,672</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753,473</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1,066,796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ind w:left="160"/>
              <w:spacing w:after="0" w:line="196" w:lineRule="exact"/>
              <w:rPr>
                <w:sz w:val="20"/>
                <w:szCs w:val="20"/>
                <w:color w:val="auto"/>
              </w:rPr>
            </w:pPr>
            <w:r>
              <w:rPr>
                <w:rFonts w:ascii="Arial" w:cs="Arial" w:eastAsia="Arial" w:hAnsi="Arial"/>
                <w:sz w:val="18"/>
                <w:szCs w:val="18"/>
                <w:color w:val="auto"/>
              </w:rPr>
              <w:t>Federal Solutions revenues</w:t>
            </w:r>
          </w:p>
        </w:tc>
        <w:tc>
          <w:tcPr>
            <w:tcW w:w="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804,553</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788,607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2,323,769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2,436,628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Infrastructure – North America</w:t>
            </w: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537,663</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528,564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1,511,759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1,479,720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30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308,332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304,577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882,063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844,083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Critical Infrastructure revenues</w:t>
            </w:r>
          </w:p>
        </w:tc>
        <w:tc>
          <w:tcPr>
            <w:tcW w:w="9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845,995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833,141</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2,393,822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2,323,803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118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1,650,548</w:t>
            </w:r>
          </w:p>
        </w:tc>
        <w:tc>
          <w:tcPr>
            <w:tcW w:w="48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1,621,748</w:t>
            </w:r>
          </w:p>
        </w:tc>
        <w:tc>
          <w:tcPr>
            <w:tcW w:w="440" w:type="dxa"/>
            <w:vAlign w:val="bottom"/>
            <w:gridSpan w:val="2"/>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4,717,591</w:t>
            </w:r>
          </w:p>
        </w:tc>
        <w:tc>
          <w:tcPr>
            <w:tcW w:w="480" w:type="dxa"/>
            <w:vAlign w:val="bottom"/>
            <w:gridSpan w:val="2"/>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4,760,431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7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7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-1602105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-1602105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-1602105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-1062355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-1062355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-1062355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line="28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Sale of Receivables</w:t>
      </w:r>
    </w:p>
    <w:p>
      <w:pPr>
        <w:spacing w:after="0" w:line="104"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During the quarter ended September 30, 2026, the Company entered into a Master Receivables Purchase Agreement ("MRPA Facility") with JPMorgan Chase Bank, N.A. (the "Purchaser") for the sale of up to $65 million of certain designated eligible trade receivables with the U.S. government. The trade receivables sold under the MRPA Facility are without recourse for any U.S. government credit risk. The MRPA Facility is uncommitted and expires in September of 2027. The purchase price for any trade receivable sold under the MRPA Facility is the trade receivable balance minus a purchase discount fee.</w:t>
      </w:r>
    </w:p>
    <w:p>
      <w:pPr>
        <w:spacing w:after="0" w:line="176" w:lineRule="exact"/>
        <w:rPr>
          <w:sz w:val="20"/>
          <w:szCs w:val="20"/>
          <w:color w:val="auto"/>
        </w:rPr>
      </w:pPr>
    </w:p>
    <w:p>
      <w:pPr>
        <w:ind w:right="120" w:firstLine="644"/>
        <w:spacing w:after="0" w:line="247" w:lineRule="auto"/>
        <w:rPr>
          <w:sz w:val="20"/>
          <w:szCs w:val="20"/>
          <w:color w:val="auto"/>
        </w:rPr>
      </w:pPr>
      <w:r>
        <w:rPr>
          <w:rFonts w:ascii="Arial" w:cs="Arial" w:eastAsia="Arial" w:hAnsi="Arial"/>
          <w:sz w:val="18"/>
          <w:szCs w:val="18"/>
          <w:color w:val="auto"/>
        </w:rPr>
        <w:t>Trade receivables sold under the MRPA Facility have been recognized as sales, as the trade receivables had been legally isolated from the Company, the Purchaser had a right to pledge or exchange the assets received and, although Company generally remains the servicer for sold trade receivables, we do not maintain effective control over the transferred receivables. The fair value of the sold trade receivables approximated their book value due to their short-term nature.</w:t>
      </w:r>
    </w:p>
    <w:p>
      <w:pPr>
        <w:spacing w:after="0" w:line="17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The cash received from trade receivables sold under the MRPA Facility, all of which remains outstanding as of the three and nine months ended September 30, 2026, was $19.6 million. The Company does not retain an ongoing financial interest in the sold trade receivables other than cash collection and administrative servicing. The Company estimated that its servicing fee was at fair value and therefore has not recognized a servicing asset or liability as of September 30, 2026.</w:t>
      </w:r>
    </w:p>
    <w:p>
      <w:pPr>
        <w:spacing w:after="0" w:line="174" w:lineRule="exact"/>
        <w:rPr>
          <w:sz w:val="20"/>
          <w:szCs w:val="20"/>
          <w:color w:val="auto"/>
        </w:rPr>
      </w:pPr>
    </w:p>
    <w:p>
      <w:pPr>
        <w:ind w:right="40" w:firstLine="644"/>
        <w:spacing w:after="0" w:line="271" w:lineRule="auto"/>
        <w:rPr>
          <w:sz w:val="20"/>
          <w:szCs w:val="20"/>
          <w:color w:val="auto"/>
        </w:rPr>
      </w:pPr>
      <w:r>
        <w:rPr>
          <w:rFonts w:ascii="Arial" w:cs="Arial" w:eastAsia="Arial" w:hAnsi="Arial"/>
          <w:sz w:val="18"/>
          <w:szCs w:val="18"/>
          <w:color w:val="auto"/>
        </w:rPr>
        <w:t>For the three and nine months ended September 30, 2026, the Company incurred purchase discount fees of $0.1 million, which are presented in "Selling, general and administrative expense" on the consolidated statements of income.</w:t>
      </w:r>
    </w:p>
    <w:p>
      <w:pPr>
        <w:spacing w:after="0" w:line="262" w:lineRule="exact"/>
        <w:rPr>
          <w:sz w:val="20"/>
          <w:szCs w:val="20"/>
          <w:color w:val="auto"/>
        </w:rPr>
      </w:pPr>
    </w:p>
    <w:p>
      <w:pPr>
        <w:ind w:left="640" w:right="8820" w:hanging="632"/>
        <w:spacing w:after="0" w:line="522" w:lineRule="auto"/>
        <w:tabs>
          <w:tab w:leader="none" w:pos="64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2025.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2025 and in our other filings with the Securities and Exchange Commission. We undertake no obligation to update or revise publicly any forward-looking statements except as required by law.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 and electronic warfare, space and missile defense, critical infrastructure protection, transportation, water and environment, and urban development.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is an advanced technology provider to the U.S. government. Our Critical Infrastructure business provides integrated design and engineering services for complex physical and digital infrastructure around the globe.</w:t>
      </w:r>
    </w:p>
    <w:p>
      <w:pPr>
        <w:spacing w:after="0" w:line="169" w:lineRule="exact"/>
        <w:rPr>
          <w:sz w:val="20"/>
          <w:szCs w:val="20"/>
          <w:color w:val="auto"/>
        </w:rPr>
      </w:pPr>
    </w:p>
    <w:p>
      <w:pPr>
        <w:ind w:firstLine="636"/>
        <w:spacing w:after="0" w:line="253"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6" w:name="page37"/>
    <w:bookmarkEnd w:id="36"/>
    <w:p>
      <w:pPr>
        <w:spacing w:after="0" w:line="253" w:lineRule="auto"/>
        <w:rPr>
          <w:sz w:val="20"/>
          <w:szCs w:val="20"/>
          <w:color w:val="auto"/>
        </w:rPr>
      </w:pPr>
      <w:r>
        <w:rPr>
          <w:rFonts w:ascii="Arial" w:cs="Arial" w:eastAsia="Arial" w:hAnsi="Arial"/>
          <w:sz w:val="18"/>
          <w:szCs w:val="18"/>
          <w:color w:val="auto"/>
        </w:rPr>
        <w:t>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85725" cy="145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45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5"/>
                <w:szCs w:val="15"/>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 (year to date)</w:t>
            </w:r>
          </w:p>
        </w:tc>
        <w:tc>
          <w:tcPr>
            <w:tcW w:w="27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5,748,571</w:t>
            </w:r>
          </w:p>
        </w:tc>
        <w:tc>
          <w:tcPr>
            <w:tcW w:w="640" w:type="dxa"/>
            <w:vAlign w:val="bottom"/>
            <w:gridSpan w:val="3"/>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4,865,560</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2760" w:type="dxa"/>
            <w:vAlign w:val="bottom"/>
            <w:gridSpan w:val="2"/>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9,362,466</w:t>
            </w:r>
          </w:p>
        </w:tc>
        <w:tc>
          <w:tcPr>
            <w:tcW w:w="640" w:type="dxa"/>
            <w:vAlign w:val="bottom"/>
            <w:gridSpan w:val="3"/>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8,832,447</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 (year to date)</w:t>
            </w:r>
          </w:p>
        </w:tc>
        <w:tc>
          <w:tcPr>
            <w:tcW w:w="23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jc w:val="both"/>
        <w:ind w:left="1260" w:right="100" w:hanging="653"/>
        <w:spacing w:after="0" w:line="275"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Difference between our backlog of $9.4 billion and our remaining unsatisfied performance obligations, or RUPO, of $7.6 billion, each as of September 30, 2026, is due to (i) unissued task orders and unexercised option years, to the extent their issuance or exercise is probable, as well as (ii) contract awards, to the extent we believe contract execution and funding is probable.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900" w:type="dxa"/>
            <w:vAlign w:val="bottom"/>
          </w:tcPr>
          <w:p>
            <w:pPr>
              <w:spacing w:after="0"/>
              <w:rPr>
                <w:sz w:val="12"/>
                <w:szCs w:val="12"/>
                <w:color w:val="auto"/>
              </w:rPr>
            </w:pPr>
          </w:p>
        </w:tc>
        <w:tc>
          <w:tcPr>
            <w:tcW w:w="10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35"/>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994,280</w:t>
            </w:r>
          </w:p>
        </w:tc>
        <w:tc>
          <w:tcPr>
            <w:tcW w:w="42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649,692</w:t>
            </w:r>
          </w:p>
        </w:tc>
        <w:tc>
          <w:tcPr>
            <w:tcW w:w="38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3,010,914</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2,045,171</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826,916</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943,317</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2,737,657</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2,820,389</w:t>
            </w:r>
          </w:p>
        </w:tc>
        <w:tc>
          <w:tcPr>
            <w:tcW w:w="10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1,821,196</w:t>
            </w:r>
          </w:p>
        </w:tc>
        <w:tc>
          <w:tcPr>
            <w:tcW w:w="42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1,593,009</w:t>
            </w:r>
          </w:p>
        </w:tc>
        <w:tc>
          <w:tcPr>
            <w:tcW w:w="38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5,748,571</w:t>
            </w:r>
          </w:p>
        </w:tc>
        <w:tc>
          <w:tcPr>
            <w:tcW w:w="44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4,865,560</w:t>
            </w:r>
          </w:p>
        </w:tc>
        <w:tc>
          <w:tcPr>
            <w:tcW w:w="100" w:type="dxa"/>
            <w:vAlign w:val="bottom"/>
            <w:shd w:val="clear" w:color="auto" w:fill="CFF0FC"/>
          </w:tcPr>
          <w:p>
            <w:pPr>
              <w:spacing w:after="0"/>
              <w:rPr>
                <w:sz w:val="18"/>
                <w:szCs w:val="18"/>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03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w:t>
      </w:r>
    </w:p>
    <w:p>
      <w:pPr>
        <w:spacing w:after="0" w:line="140"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The increase in awards for the three and nine months ended September 30, 2026 in our Federal Solutions segment when compared to the corresponding period last year was primarily driven by significant awards. The comparable period included a delay in the timing of awards of a number of contracts being pursued. The decrease in awards for the three and nine months ended September 30, 2026 in our Critical Infrastructure segment when compared to the corresponding period last year was primarily driven by a delay in the timing of awards of a number of contracts being pursued.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80" w:hanging="263"/>
        <w:spacing w:after="0" w:line="270"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the revenue value of orders for services under existing contracts for which funding is appropriated or otherwise authorized less revenue previously recognized on these contracts.</w:t>
      </w:r>
    </w:p>
    <w:p>
      <w:pPr>
        <w:spacing w:after="0" w:line="46" w:lineRule="exact"/>
        <w:rPr>
          <w:rFonts w:ascii="Times New Roman" w:cs="Times New Roman" w:eastAsia="Times New Roman" w:hAnsi="Times New Roman"/>
          <w:sz w:val="18"/>
          <w:szCs w:val="18"/>
          <w:color w:val="auto"/>
        </w:rPr>
      </w:pPr>
    </w:p>
    <w:p>
      <w:pPr>
        <w:ind w:left="900" w:right="80" w:hanging="263"/>
        <w:spacing w:after="0" w:line="246" w:lineRule="auto"/>
        <w:tabs>
          <w:tab w:leader="none" w:pos="9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the revenue value of orders for services under existing contracts for which funding has not been appropriated or otherwise authorized less revenue previously recognized on these contracts. Unfunded backlog does not include potential task orders expected to be awarded under multiple awards IDIQ (indefinite delivery, indefinite quantity) contract vehicles, where task orders are competitively awarded and separately priced.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7" w:name="page38"/>
    <w:bookmarkEnd w:id="37"/>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150495</wp:posOffset>
            </wp:positionV>
            <wp:extent cx="85090"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090"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5"/>
                <w:szCs w:val="15"/>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23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Funded</w:t>
            </w:r>
          </w:p>
        </w:tc>
        <w:tc>
          <w:tcPr>
            <w:tcW w:w="274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2,147,451</w:t>
            </w:r>
          </w:p>
        </w:tc>
        <w:tc>
          <w:tcPr>
            <w:tcW w:w="52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1,897,010</w:t>
            </w:r>
          </w:p>
        </w:tc>
      </w:tr>
      <w:tr>
        <w:trPr>
          <w:trHeight w:val="203"/>
        </w:trPr>
        <w:tc>
          <w:tcPr>
            <w:tcW w:w="44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Unfunded</w:t>
            </w:r>
          </w:p>
        </w:tc>
        <w:tc>
          <w:tcPr>
            <w:tcW w:w="23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2,495,738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2,409,177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Federal Solutions</w:t>
            </w:r>
          </w:p>
        </w:tc>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4,643,189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4,306,187</w:t>
            </w: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Critical Infrastructure:</w:t>
            </w:r>
          </w:p>
        </w:tc>
        <w:tc>
          <w:tcPr>
            <w:tcW w:w="23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80" w:type="dxa"/>
            <w:vAlign w:val="bottom"/>
          </w:tcPr>
          <w:p>
            <w:pPr>
              <w:ind w:left="160"/>
              <w:spacing w:after="0" w:line="202" w:lineRule="exact"/>
              <w:rPr>
                <w:sz w:val="20"/>
                <w:szCs w:val="20"/>
                <w:color w:val="auto"/>
              </w:rPr>
            </w:pPr>
            <w:r>
              <w:rPr>
                <w:rFonts w:ascii="Arial" w:cs="Arial" w:eastAsia="Arial" w:hAnsi="Arial"/>
                <w:sz w:val="18"/>
                <w:szCs w:val="18"/>
                <w:color w:val="auto"/>
              </w:rPr>
              <w:t>Funded</w:t>
            </w:r>
          </w:p>
        </w:tc>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4,684,985</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4,483,659</w:t>
            </w:r>
          </w:p>
        </w:tc>
      </w:tr>
      <w:tr>
        <w:trPr>
          <w:trHeight w:val="203"/>
        </w:trPr>
        <w:tc>
          <w:tcPr>
            <w:tcW w:w="44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Unfunded</w:t>
            </w:r>
          </w:p>
        </w:tc>
        <w:tc>
          <w:tcPr>
            <w:tcW w:w="23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34,292</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480" w:type="dxa"/>
            <w:vAlign w:val="bottom"/>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23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4,719,277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4,526,260</w:t>
            </w:r>
          </w:p>
        </w:tc>
        <w:tc>
          <w:tcPr>
            <w:tcW w:w="100" w:type="dxa"/>
            <w:vAlign w:val="bottom"/>
          </w:tcPr>
          <w:p>
            <w:pPr>
              <w:spacing w:after="0"/>
              <w:rPr>
                <w:sz w:val="17"/>
                <w:szCs w:val="17"/>
                <w:color w:val="auto"/>
              </w:rPr>
            </w:pPr>
          </w:p>
        </w:tc>
      </w:tr>
      <w:tr>
        <w:trPr>
          <w:trHeight w:val="21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Backlog (1)</w:t>
            </w:r>
          </w:p>
        </w:tc>
        <w:tc>
          <w:tcPr>
            <w:tcW w:w="2740" w:type="dxa"/>
            <w:vAlign w:val="bottom"/>
            <w:gridSpan w:val="2"/>
            <w:shd w:val="clear" w:color="auto" w:fill="CFF0FC"/>
          </w:tcPr>
          <w:p>
            <w:pPr>
              <w:jc w:val="right"/>
              <w:ind w:right="208"/>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9,362,466</w:t>
            </w:r>
          </w:p>
        </w:tc>
        <w:tc>
          <w:tcPr>
            <w:tcW w:w="52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8,832,447</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-830580</wp:posOffset>
            </wp:positionV>
            <wp:extent cx="59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-830580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-299720</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-299720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596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9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ind w:left="1260" w:right="220" w:hanging="653"/>
        <w:spacing w:after="0" w:line="250"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6"/>
          <w:szCs w:val="16"/>
          <w:color w:val="auto"/>
        </w:rPr>
        <w:t>Difference between our backlog of $9.4 billion and our RUPO of $7.6 billion, each as of September 30, 2026, is due to (i) unissued task orders and unexercised option years, to the extent their issuance or exercise is probable, as well as (ii) contract awards, to the extent we believe contract execution and funding is probable.</w:t>
      </w:r>
    </w:p>
    <w:p>
      <w:pPr>
        <w:spacing w:after="0" w:line="179"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right="40" w:firstLine="636"/>
        <w:spacing w:after="0" w:line="242" w:lineRule="auto"/>
        <w:rPr>
          <w:sz w:val="20"/>
          <w:szCs w:val="20"/>
          <w:color w:val="auto"/>
        </w:rPr>
      </w:pPr>
      <w:r>
        <w:rPr>
          <w:rFonts w:ascii="Arial" w:cs="Arial" w:eastAsia="Arial" w:hAnsi="Arial"/>
          <w:sz w:val="18"/>
          <w:szCs w:val="18"/>
          <w:color w:val="auto"/>
        </w:rPr>
        <w:t>We expect to recognize $4.0 billion of our funded backlog at September 30, 2026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lower-than-expected revenue” in the Company’s Form 10-K for the year ended December 31, 2025.</w:t>
      </w:r>
    </w:p>
    <w:p>
      <w:pPr>
        <w:spacing w:after="0" w:line="179"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18"/>
          <w:szCs w:val="18"/>
          <w:color w:val="auto"/>
        </w:rPr>
        <w:t>The increase in Federal Solutions backlog was primarily related to an overall increase in awards partially offset by a reduction in work on our confidential contract as a result of the Department of State reorganization issued May 29, 2025. The increase in backlog in the Critical Infrastructure segment was primarily from ordinary course fluctuations in our business and higher awards as compared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8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10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48"/>
              <w:spacing w:after="0" w:line="147" w:lineRule="exact"/>
              <w:rPr>
                <w:sz w:val="20"/>
                <w:szCs w:val="20"/>
                <w:color w:val="auto"/>
              </w:rPr>
            </w:pPr>
            <w:r>
              <w:rPr>
                <w:rFonts w:ascii="Arial" w:cs="Arial" w:eastAsia="Arial" w:hAnsi="Arial"/>
                <w:sz w:val="14"/>
                <w:szCs w:val="14"/>
                <w:b w:val="1"/>
                <w:bCs w:val="1"/>
                <w:color w:val="auto"/>
              </w:rPr>
              <w:t>September 30,</w:t>
            </w:r>
          </w:p>
        </w:tc>
        <w:tc>
          <w:tcPr>
            <w:tcW w:w="660" w:type="dxa"/>
            <w:vAlign w:val="bottom"/>
            <w:gridSpan w:val="2"/>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652"/>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00" w:type="dxa"/>
            <w:vAlign w:val="bottom"/>
          </w:tcPr>
          <w:p>
            <w:pPr>
              <w:jc w:val="right"/>
              <w:ind w:right="758"/>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4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War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Altamira Technologies Corporation</w:t>
      </w:r>
    </w:p>
    <w:p>
      <w:pPr>
        <w:spacing w:after="0" w:line="102" w:lineRule="exact"/>
        <w:rPr>
          <w:sz w:val="20"/>
          <w:szCs w:val="20"/>
          <w:color w:val="auto"/>
        </w:rPr>
      </w:pPr>
    </w:p>
    <w:p>
      <w:pPr>
        <w:ind w:right="160" w:firstLine="636"/>
        <w:spacing w:after="0" w:line="207" w:lineRule="exact"/>
        <w:rPr>
          <w:sz w:val="20"/>
          <w:szCs w:val="20"/>
          <w:color w:val="auto"/>
        </w:rPr>
      </w:pPr>
      <w:r>
        <w:rPr>
          <w:rFonts w:ascii="Arial" w:cs="Arial" w:eastAsia="Arial" w:hAnsi="Arial"/>
          <w:sz w:val="18"/>
          <w:szCs w:val="18"/>
          <w:color w:val="auto"/>
        </w:rPr>
        <w:t>On January 14, 2026, the Company acquired a 100% ownership interest in Altamira Technologies Corporation ("ATC"), a privately owned company, for approximately $339 million in cash and up to an additional $45 million in the event an earn out EBITDA target is exceeded. The Company borrowed $330.0 million under the Revolving Credit Facility to fund the acquisition. Headquartered in McLean, Virginia, ATC enhances Parsons’ defense and intelligence portfolio by delivering advanced analytics, signals intelligence (SIGINT), cyber, missile warning, and space capabilities, complementing the company’s strengths in all</w:t>
      </w:r>
      <w:r>
        <w:rPr>
          <w:rFonts w:ascii="MS PGothic" w:cs="MS PGothic" w:eastAsia="MS PGothic" w:hAnsi="MS PGothic"/>
          <w:sz w:val="18"/>
          <w:szCs w:val="18"/>
          <w:color w:val="auto"/>
        </w:rPr>
        <w:t>‑</w:t>
      </w:r>
      <w:r>
        <w:rPr>
          <w:rFonts w:ascii="Arial" w:cs="Arial" w:eastAsia="Arial" w:hAnsi="Arial"/>
          <w:sz w:val="18"/>
          <w:szCs w:val="18"/>
          <w:color w:val="auto"/>
        </w:rPr>
        <w:t>domain technology integration and Indo</w:t>
      </w:r>
      <w:r>
        <w:rPr>
          <w:rFonts w:ascii="MS PGothic" w:cs="MS PGothic" w:eastAsia="MS PGothic" w:hAnsi="MS PGothic"/>
          <w:sz w:val="18"/>
          <w:szCs w:val="18"/>
          <w:color w:val="auto"/>
        </w:rPr>
        <w:t>‑</w:t>
      </w:r>
      <w:r>
        <w:rPr>
          <w:rFonts w:ascii="Arial" w:cs="Arial" w:eastAsia="Arial" w:hAnsi="Arial"/>
          <w:sz w:val="18"/>
          <w:szCs w:val="18"/>
          <w:color w:val="auto"/>
        </w:rPr>
        <w:t>Pacific operations, and expanding with intelligence community (IC) customers. The financial results of ATC have been included in our consolidated results of operations from March 31, 2026 onward.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Applied Sciences Consulting, Inc.</w:t>
      </w:r>
    </w:p>
    <w:p>
      <w:pPr>
        <w:spacing w:after="0" w:line="102"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On October 1, 2025, the Company acquired a 100% ownership interest in Applied Sciences Consulting, Inc. ("ASC"), a privately owned company, for $28.2 million from cash on hand. ASC specializes in water and stormwater solutions for cities, counties, and water management districts across the state of Florida. ASC enhances our ability to partner with Florida communities on delivering innovative solutions for their resiliency challenges, while expanding those capabilities to new and existing clients around the world. The financial results of ASC have been included in our consolidated results of operations from December 31, 2025 onward.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Chesapeake Technology International, Corp</w:t>
      </w:r>
    </w:p>
    <w:p>
      <w:pPr>
        <w:spacing w:after="0" w:line="102" w:lineRule="exact"/>
        <w:rPr>
          <w:sz w:val="20"/>
          <w:szCs w:val="20"/>
          <w:color w:val="auto"/>
        </w:rPr>
      </w:pPr>
    </w:p>
    <w:p>
      <w:pPr>
        <w:ind w:right="280" w:firstLine="636"/>
        <w:spacing w:after="0" w:line="244" w:lineRule="auto"/>
        <w:rPr>
          <w:sz w:val="20"/>
          <w:szCs w:val="20"/>
          <w:color w:val="auto"/>
        </w:rPr>
      </w:pPr>
      <w:r>
        <w:rPr>
          <w:rFonts w:ascii="Arial" w:cs="Arial" w:eastAsia="Arial" w:hAnsi="Arial"/>
          <w:sz w:val="18"/>
          <w:szCs w:val="18"/>
          <w:color w:val="auto"/>
        </w:rPr>
        <w:t>On June 30, 2025, the Company acquired a 100% ownership interest in Chesapeake Technology International, Corp ("CTI"), a privately owned company, for $91.5 million from cash on hand. CTI brings extensive capabilities as an all-domain technology solutions provider, powered by cutting-edge products that enhance the warfighters’ ability to sense, evaluate and deliver effects within the invisible battlespaces. CTI enhances our mission-ready solutions for the Department of War. The financial results of CTI have been included in our consolidated results of operations from June 30, 2025 onward.</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right="260" w:firstLine="636"/>
        <w:spacing w:after="0" w:line="253" w:lineRule="auto"/>
        <w:rPr>
          <w:sz w:val="20"/>
          <w:szCs w:val="20"/>
          <w:color w:val="auto"/>
        </w:rPr>
      </w:pPr>
      <w:r>
        <w:rPr>
          <w:rFonts w:ascii="Arial" w:cs="Arial" w:eastAsia="Arial" w:hAnsi="Arial"/>
          <w:sz w:val="18"/>
          <w:szCs w:val="18"/>
          <w:color w:val="auto"/>
        </w:rPr>
        <w:t>Our revenue consists of fees for services provided by our employees. We also bill customers for pass-through amounts related to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20" w:hanging="374"/>
        <w:spacing w:after="0" w:line="246"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360" w:hanging="374"/>
        <w:spacing w:after="0" w:line="252" w:lineRule="auto"/>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2025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5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920" w:type="dxa"/>
            <w:vAlign w:val="bottom"/>
          </w:tcPr>
          <w:p>
            <w:pPr>
              <w:spacing w:after="0"/>
              <w:rPr>
                <w:sz w:val="12"/>
                <w:szCs w:val="12"/>
                <w:color w:val="auto"/>
              </w:rPr>
            </w:pPr>
          </w:p>
        </w:tc>
        <w:tc>
          <w:tcPr>
            <w:tcW w:w="116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8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14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6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116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28.4%</w:t>
            </w:r>
          </w:p>
        </w:tc>
        <w:tc>
          <w:tcPr>
            <w:tcW w:w="140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w w:val="97"/>
              </w:rPr>
              <w:t>33.0%</w:t>
            </w:r>
          </w:p>
        </w:tc>
        <w:tc>
          <w:tcPr>
            <w:tcW w:w="124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w w:val="97"/>
              </w:rPr>
              <w:t>29.8%</w:t>
            </w:r>
          </w:p>
        </w:tc>
        <w:tc>
          <w:tcPr>
            <w:tcW w:w="1380" w:type="dxa"/>
            <w:vAlign w:val="bottom"/>
            <w:gridSpan w:val="2"/>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rPr>
              <w:t>34.5%</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24.9%</w:t>
            </w:r>
          </w:p>
        </w:tc>
        <w:tc>
          <w:tcPr>
            <w:tcW w:w="140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7"/>
              </w:rPr>
              <w:t>24.3%</w:t>
            </w:r>
          </w:p>
        </w:tc>
        <w:tc>
          <w:tcPr>
            <w:tcW w:w="124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w w:val="97"/>
              </w:rPr>
              <w:t>25.1%</w:t>
            </w:r>
          </w:p>
        </w:tc>
        <w:tc>
          <w:tcPr>
            <w:tcW w:w="13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23.4%</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11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rPr>
              <w:t>46.7%</w:t>
            </w:r>
          </w:p>
        </w:tc>
        <w:tc>
          <w:tcPr>
            <w:tcW w:w="140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7"/>
              </w:rPr>
              <w:t>42.7%</w:t>
            </w:r>
          </w:p>
        </w:tc>
        <w:tc>
          <w:tcPr>
            <w:tcW w:w="124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w w:val="97"/>
              </w:rPr>
              <w:t>45.1%</w:t>
            </w:r>
          </w:p>
        </w:tc>
        <w:tc>
          <w:tcPr>
            <w:tcW w:w="1380" w:type="dxa"/>
            <w:vAlign w:val="bottom"/>
            <w:gridSpan w:val="2"/>
            <w:shd w:val="clear" w:color="auto" w:fill="CFF0FC"/>
          </w:tcPr>
          <w:p>
            <w:pPr>
              <w:jc w:val="center"/>
              <w:ind w:left="10"/>
              <w:spacing w:after="0" w:line="202" w:lineRule="exact"/>
              <w:rPr>
                <w:sz w:val="20"/>
                <w:szCs w:val="20"/>
                <w:color w:val="auto"/>
              </w:rPr>
            </w:pPr>
            <w:r>
              <w:rPr>
                <w:rFonts w:ascii="Arial" w:cs="Arial" w:eastAsia="Arial" w:hAnsi="Arial"/>
                <w:sz w:val="18"/>
                <w:szCs w:val="18"/>
                <w:color w:val="auto"/>
              </w:rPr>
              <w:t>42.1%</w:t>
            </w:r>
          </w:p>
        </w:tc>
      </w:tr>
    </w:tbl>
    <w:p>
      <w:pPr>
        <w:spacing w:after="0" w:line="22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72" w:lineRule="exact"/>
        <w:rPr>
          <w:sz w:val="20"/>
          <w:szCs w:val="20"/>
          <w:color w:val="auto"/>
        </w:rPr>
      </w:pPr>
    </w:p>
    <w:p>
      <w:pPr>
        <w:ind w:right="280" w:firstLine="636"/>
        <w:spacing w:after="0" w:line="253" w:lineRule="auto"/>
        <w:rPr>
          <w:sz w:val="20"/>
          <w:szCs w:val="20"/>
          <w:color w:val="auto"/>
        </w:rPr>
      </w:pPr>
      <w:r>
        <w:rPr>
          <w:rFonts w:ascii="Arial" w:cs="Arial" w:eastAsia="Arial" w:hAnsi="Arial"/>
          <w:sz w:val="18"/>
          <w:szCs w:val="18"/>
          <w:color w:val="auto"/>
        </w:rPr>
        <w:t>The change in the contract mix for the three and nine months ended September 30, 2026 compared to the corresponding periods last year primarily relates to decreased business volume from a fixed price contract from a confidential contract in our Federal Solutions segment.</w:t>
      </w:r>
    </w:p>
    <w:p>
      <w:pPr>
        <w:spacing w:after="0" w:line="169" w:lineRule="exact"/>
        <w:rPr>
          <w:sz w:val="20"/>
          <w:szCs w:val="20"/>
          <w:color w:val="auto"/>
        </w:rPr>
      </w:pPr>
    </w:p>
    <w:p>
      <w:pPr>
        <w:ind w:right="180" w:firstLine="636"/>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80" w:firstLine="636"/>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September 30, 2026 and September 30, 2025 of $44.8 million and $56.9 million, respectively and $141.1 million and $144.3 million for the nine months ended September 30, 2026 and September 30, 2025, respectively.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360" w:firstLine="636"/>
        <w:spacing w:after="0" w:line="242"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September 30, 2026 and September 30, 2025 was $20.7 million and $18.6 million, respectively and $ 59.8 million and $54.0 million for the nine months ended September 30, 2026 and September 30, 2025, respectively and is recorded in “Direct cost of contracts” and “Selling, general and administrative expenses.”</w:t>
      </w:r>
    </w:p>
    <w:p>
      <w:pPr>
        <w:spacing w:after="0" w:line="179" w:lineRule="exact"/>
        <w:rPr>
          <w:sz w:val="20"/>
          <w:szCs w:val="20"/>
          <w:color w:val="auto"/>
        </w:rPr>
      </w:pPr>
    </w:p>
    <w:p>
      <w:pPr>
        <w:ind w:right="8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6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Convertible Senior Notes, Term Loan, and Revolving Credit Facility.</w:t>
      </w:r>
    </w:p>
    <w:p>
      <w:pPr>
        <w:spacing w:after="0" w:line="212"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businesses and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nine months ended September 30, 2026 and September 30, 2025.</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6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72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Borders>
              <w:top w:val="single" w:sz="8" w:color="auto"/>
            </w:tcBorders>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September 30,</w:t>
            </w:r>
          </w:p>
        </w:tc>
        <w:tc>
          <w:tcPr>
            <w:tcW w:w="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0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r>
      <w:tr>
        <w:trPr>
          <w:trHeight w:val="196"/>
        </w:trPr>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(1)</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   167,843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158,137</w:t>
            </w: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   360,992</w:t>
            </w:r>
          </w:p>
        </w:tc>
        <w:tc>
          <w:tcPr>
            <w:tcW w:w="2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456,044</w:t>
            </w:r>
          </w:p>
        </w:tc>
        <w:tc>
          <w:tcPr>
            <w:tcW w:w="180" w:type="dxa"/>
            <w:vAlign w:val="bottom"/>
            <w:shd w:val="clear" w:color="auto" w:fill="CFF0FC"/>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1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4.9%</w:t>
            </w:r>
          </w:p>
        </w:tc>
      </w:tr>
      <w:tr>
        <w:trPr>
          <w:trHeight w:val="203"/>
        </w:trPr>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13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10.2%</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9.8%</w:t>
            </w:r>
          </w:p>
        </w:tc>
        <w:tc>
          <w:tcPr>
            <w:tcW w:w="13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9.6%</w:t>
            </w:r>
          </w:p>
        </w:tc>
      </w:tr>
    </w:tbl>
    <w:p>
      <w:pPr>
        <w:spacing w:after="0" w:line="94" w:lineRule="exact"/>
        <w:rPr>
          <w:sz w:val="20"/>
          <w:szCs w:val="20"/>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reconciliation of net income attributable to Parsons Corporation to Adjusted EBITDA is set forth below (in thousands).</w:t>
      </w:r>
    </w:p>
    <w:p>
      <w:pPr>
        <w:spacing w:after="0" w:line="21" w:lineRule="exact"/>
        <w:rPr>
          <w:rFonts w:ascii="Arial" w:cs="Arial" w:eastAsia="Arial" w:hAnsi="Arial"/>
          <w:sz w:val="16"/>
          <w:szCs w:val="16"/>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Income Margin is calculated as net income including noncontrolling interest divided by revenue in the applicable period.</w:t>
      </w:r>
    </w:p>
    <w:p>
      <w:pPr>
        <w:spacing w:after="0" w:line="5" w:lineRule="exact"/>
        <w:rPr>
          <w:rFonts w:ascii="Arial" w:cs="Arial" w:eastAsia="Arial" w:hAnsi="Arial"/>
          <w:sz w:val="16"/>
          <w:szCs w:val="16"/>
          <w:color w:val="auto"/>
        </w:rPr>
      </w:pPr>
    </w:p>
    <w:p>
      <w:pPr>
        <w:ind w:left="1040" w:hanging="508"/>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Margin is calculated as Adjusted EBITDA divided by revenue in the applicable period.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548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3"/>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3"/>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60"/>
              <w:spacing w:after="0" w:line="147" w:lineRule="exact"/>
              <w:rPr>
                <w:sz w:val="20"/>
                <w:szCs w:val="20"/>
                <w:color w:val="auto"/>
              </w:rPr>
            </w:pPr>
            <w:r>
              <w:rPr>
                <w:rFonts w:ascii="Arial" w:cs="Arial" w:eastAsia="Arial" w:hAnsi="Arial"/>
                <w:sz w:val="14"/>
                <w:szCs w:val="14"/>
                <w:b w:val="1"/>
                <w:bCs w:val="1"/>
                <w:color w:val="auto"/>
              </w:rPr>
              <w:t>September 30,</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3"/>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r>
      <w:tr>
        <w:trPr>
          <w:trHeight w:val="171"/>
        </w:trPr>
        <w:tc>
          <w:tcPr>
            <w:tcW w:w="5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r>
      <w:tr>
        <w:trPr>
          <w:trHeight w:val="196"/>
        </w:trPr>
        <w:tc>
          <w:tcPr>
            <w:tcW w:w="5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280" w:type="dxa"/>
            <w:vAlign w:val="bottom"/>
            <w:shd w:val="clear" w:color="auto" w:fill="CFF0FC"/>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54,153</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64,123</w:t>
            </w:r>
          </w:p>
        </w:tc>
        <w:tc>
          <w:tcPr>
            <w:tcW w:w="48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91,860</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185,556</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15,437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11,696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33,301</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20,446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16,035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40,755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53,702</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34,118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29,849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106,681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85,844</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17,671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40,297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48,514</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Equity-based compensation</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11,518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11,568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31,049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30,190</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Transaction-related costs (a)</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16,180</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5,074</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13,910</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140"/>
              <w:spacing w:after="0" w:line="202" w:lineRule="exact"/>
              <w:rPr>
                <w:sz w:val="20"/>
                <w:szCs w:val="20"/>
                <w:color w:val="auto"/>
              </w:rPr>
            </w:pPr>
            <w:r>
              <w:rPr>
                <w:rFonts w:ascii="Arial" w:cs="Arial" w:eastAsia="Arial" w:hAnsi="Arial"/>
                <w:sz w:val="18"/>
                <w:szCs w:val="18"/>
                <w:color w:val="auto"/>
              </w:rPr>
              <w:t>Restructuring (b)</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2,653</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 (c)</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(12,588)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2,374</w:t>
            </w:r>
          </w:p>
        </w:tc>
        <w:tc>
          <w:tcPr>
            <w:tcW w:w="100" w:type="dxa"/>
            <w:vAlign w:val="bottom"/>
            <w:shd w:val="clear" w:color="auto" w:fill="CFF0FC"/>
          </w:tcPr>
          <w:p>
            <w:pPr>
              <w:spacing w:after="0"/>
              <w:rPr>
                <w:sz w:val="17"/>
                <w:szCs w:val="17"/>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480" w:type="dxa"/>
            <w:vAlign w:val="bottom"/>
          </w:tcPr>
          <w:p>
            <w:pPr>
              <w:ind w:left="140"/>
              <w:spacing w:after="0" w:line="196" w:lineRule="exact"/>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167,843</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158,137</w:t>
            </w:r>
          </w:p>
        </w:tc>
        <w:tc>
          <w:tcPr>
            <w:tcW w:w="48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360,992</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456,044</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-161925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-161925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-161925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60" w:right="220" w:hanging="652"/>
        <w:spacing w:after="0" w:line="28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Reflects costs incurred in connection with acquisitions and other non-recurring transaction costs, primarily fees paid for professional services and employee retention.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2" w:name="page43"/>
    <w:bookmarkEnd w:id="42"/>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costs associated with and related to our corporate restructuring initiatives.</w:t>
      </w:r>
    </w:p>
    <w:p>
      <w:pPr>
        <w:spacing w:after="0" w:line="113" w:lineRule="exact"/>
        <w:rPr>
          <w:rFonts w:ascii="Arial" w:cs="Arial" w:eastAsia="Arial" w:hAnsi="Arial"/>
          <w:sz w:val="16"/>
          <w:szCs w:val="16"/>
          <w:color w:val="auto"/>
        </w:rPr>
      </w:pPr>
    </w:p>
    <w:p>
      <w:pPr>
        <w:ind w:left="660" w:right="360" w:hanging="652"/>
        <w:spacing w:after="0" w:line="28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a combination of gain/loss related to sale of businesses and sale of fixed assets, software implementation costs, and other individually insignificant items that are non-recurring in nature.</w:t>
      </w:r>
    </w:p>
    <w:p>
      <w:pPr>
        <w:spacing w:after="0" w:line="151"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20" w:firstLine="636"/>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tables show Adjusted EBITDA attributable to Parsons Corporation for each of our reportable segments and Adjusted EBITDA attributable to noncontrolling interests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6"/>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96"/>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214"/>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r>
      <w:tr>
        <w:trPr>
          <w:trHeight w:val="177"/>
        </w:trPr>
        <w:tc>
          <w:tcPr>
            <w:tcW w:w="5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74,126</w:t>
            </w:r>
          </w:p>
        </w:tc>
        <w:tc>
          <w:tcPr>
            <w:tcW w:w="5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72,501</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r>
      <w:tr>
        <w:trPr>
          <w:trHeight w:val="184"/>
        </w:trPr>
        <w:tc>
          <w:tcPr>
            <w:tcW w:w="514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Corporation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80,254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13,463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17,833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(4,370)</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(24.5)%</w:t>
            </w:r>
          </w:p>
        </w:tc>
      </w:tr>
      <w:tr>
        <w:trPr>
          <w:trHeight w:val="20"/>
        </w:trPr>
        <w:tc>
          <w:tcPr>
            <w:tcW w:w="5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color w:val="auto"/>
              </w:rPr>
              <w:t>Total Adjusted EBITDA</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167,843</w:t>
            </w:r>
          </w:p>
        </w:tc>
        <w:tc>
          <w:tcPr>
            <w:tcW w:w="52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158,137</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9,706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6.1%</w:t>
            </w: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01"/>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6"/>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96"/>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214"/>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Percent</w:t>
            </w:r>
          </w:p>
        </w:tc>
      </w:tr>
      <w:tr>
        <w:trPr>
          <w:trHeight w:val="177"/>
        </w:trPr>
        <w:tc>
          <w:tcPr>
            <w:tcW w:w="514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18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221"/>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131,893</w:t>
            </w:r>
          </w:p>
        </w:tc>
        <w:tc>
          <w:tcPr>
            <w:tcW w:w="5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215,105</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(83,212)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r>
      <w:tr>
        <w:trPr>
          <w:trHeight w:val="184"/>
        </w:trPr>
        <w:tc>
          <w:tcPr>
            <w:tcW w:w="514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1"/>
        </w:trPr>
        <w:tc>
          <w:tcPr>
            <w:tcW w:w="5140" w:type="dxa"/>
            <w:vAlign w:val="bottom"/>
          </w:tcPr>
          <w:p>
            <w:pPr>
              <w:spacing w:after="0"/>
              <w:rPr>
                <w:sz w:val="20"/>
                <w:szCs w:val="20"/>
                <w:color w:val="auto"/>
              </w:rPr>
            </w:pPr>
            <w:r>
              <w:rPr>
                <w:rFonts w:ascii="Arial" w:cs="Arial" w:eastAsia="Arial" w:hAnsi="Arial"/>
                <w:sz w:val="18"/>
                <w:szCs w:val="18"/>
                <w:color w:val="auto"/>
              </w:rPr>
              <w:t>Corporation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188,162</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192,183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(4,021)</w:t>
            </w: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03"/>
        </w:trPr>
        <w:tc>
          <w:tcPr>
            <w:tcW w:w="5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40,937</w:t>
            </w:r>
          </w:p>
        </w:tc>
        <w:tc>
          <w:tcPr>
            <w:tcW w:w="520" w:type="dxa"/>
            <w:vAlign w:val="bottom"/>
            <w:gridSpan w:val="2"/>
            <w:shd w:val="clear" w:color="auto" w:fill="CFF0FC"/>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48,756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(7,819)</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(16.0)%</w:t>
            </w:r>
          </w:p>
        </w:tc>
      </w:tr>
      <w:tr>
        <w:trPr>
          <w:trHeight w:val="20"/>
        </w:trPr>
        <w:tc>
          <w:tcPr>
            <w:tcW w:w="5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196"/>
        </w:trPr>
        <w:tc>
          <w:tcPr>
            <w:tcW w:w="5140" w:type="dxa"/>
            <w:vAlign w:val="bottom"/>
          </w:tcPr>
          <w:p>
            <w:pPr>
              <w:spacing w:after="0" w:line="196" w:lineRule="exact"/>
              <w:rPr>
                <w:sz w:val="20"/>
                <w:szCs w:val="20"/>
                <w:color w:val="auto"/>
              </w:rPr>
            </w:pPr>
            <w:r>
              <w:rPr>
                <w:rFonts w:ascii="Arial" w:cs="Arial" w:eastAsia="Arial" w:hAnsi="Arial"/>
                <w:sz w:val="18"/>
                <w:szCs w:val="18"/>
                <w:color w:val="auto"/>
              </w:rPr>
              <w:t>Total Adjusted EBITDA</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360,992</w:t>
            </w:r>
          </w:p>
        </w:tc>
        <w:tc>
          <w:tcPr>
            <w:tcW w:w="520" w:type="dxa"/>
            <w:vAlign w:val="bottom"/>
            <w:gridSpan w:val="2"/>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456,044</w:t>
            </w:r>
          </w:p>
        </w:tc>
        <w:tc>
          <w:tcPr>
            <w:tcW w:w="5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(95,052)</w:t>
            </w:r>
          </w:p>
        </w:tc>
        <w:tc>
          <w:tcPr>
            <w:tcW w:w="200" w:type="dxa"/>
            <w:vAlign w:val="bottom"/>
          </w:tcPr>
          <w:p>
            <w:pPr>
              <w:spacing w:after="0"/>
              <w:rPr>
                <w:sz w:val="17"/>
                <w:szCs w:val="17"/>
                <w:color w:val="auto"/>
              </w:rPr>
            </w:pPr>
          </w:p>
        </w:tc>
        <w:tc>
          <w:tcPr>
            <w:tcW w:w="1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(20.8)%</w:t>
            </w: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33"/>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676"/>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45"/>
        </w:trPr>
        <w:tc>
          <w:tcPr>
            <w:tcW w:w="5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-2485390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-2485390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-2485390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-2485390</wp:posOffset>
            </wp:positionV>
            <wp:extent cx="1543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-1062355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-1062355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-1062355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-1062355</wp:posOffset>
            </wp:positionV>
            <wp:extent cx="15430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3" w:name="page44"/>
    <w:bookmarkEnd w:id="43"/>
    <w:p>
      <w:pPr>
        <w:ind w:right="100" w:firstLine="644"/>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nine months ended September 30, 2026 and September 30, 2025 as a percentage of revenue.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8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4560" w:type="dxa"/>
            <w:vAlign w:val="bottom"/>
          </w:tcPr>
          <w:p>
            <w:pPr>
              <w:spacing w:after="0"/>
              <w:rPr>
                <w:sz w:val="12"/>
                <w:szCs w:val="12"/>
                <w:color w:val="auto"/>
              </w:rPr>
            </w:pPr>
          </w:p>
        </w:tc>
        <w:tc>
          <w:tcPr>
            <w:tcW w:w="1340" w:type="dxa"/>
            <w:vAlign w:val="bottom"/>
            <w:tcBorders>
              <w:top w:val="single" w:sz="8" w:color="auto"/>
            </w:tcBorders>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Borders>
              <w:top w:val="single" w:sz="8" w:color="auto"/>
            </w:tcBorders>
          </w:tcPr>
          <w:p>
            <w:pPr>
              <w:jc w:val="right"/>
              <w:ind w:right="12"/>
              <w:spacing w:after="0" w:line="147"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September 30,</w:t>
            </w:r>
          </w:p>
        </w:tc>
        <w:tc>
          <w:tcPr>
            <w:tcW w:w="1120" w:type="dxa"/>
            <w:vAlign w:val="bottom"/>
            <w:tcBorders>
              <w:top w:val="single" w:sz="8" w:color="auto"/>
            </w:tcBorders>
          </w:tcPr>
          <w:p>
            <w:pPr>
              <w:jc w:val="right"/>
              <w:ind w:right="12"/>
              <w:spacing w:after="0" w:line="147"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r>
      <w:tr>
        <w:trPr>
          <w:trHeight w:val="171"/>
        </w:trPr>
        <w:tc>
          <w:tcPr>
            <w:tcW w:w="4560" w:type="dxa"/>
            <w:vAlign w:val="bottom"/>
          </w:tcPr>
          <w:p>
            <w:pPr>
              <w:spacing w:after="0"/>
              <w:rPr>
                <w:sz w:val="14"/>
                <w:szCs w:val="14"/>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2026</w:t>
            </w: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4"/>
                <w:szCs w:val="14"/>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100.0%</w:t>
            </w:r>
          </w:p>
        </w:tc>
        <w:tc>
          <w:tcPr>
            <w:tcW w:w="1460" w:type="dxa"/>
            <w:vAlign w:val="bottom"/>
            <w:tcBorders>
              <w:righ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100.0%</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76.9%</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77.8%</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78.1%</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77.7%</w:t>
            </w:r>
          </w:p>
        </w:tc>
      </w:tr>
      <w:tr>
        <w:trPr>
          <w:trHeight w:val="184"/>
        </w:trPr>
        <w:tc>
          <w:tcPr>
            <w:tcW w:w="4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Equity in (losses) earnings of unconsolidated joint</w:t>
            </w:r>
          </w:p>
        </w:tc>
        <w:tc>
          <w:tcPr>
            <w:tcW w:w="1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tcBorders>
              <w:right w:val="single" w:sz="8" w:color="CFF0FC"/>
            </w:tcBorders>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221"/>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ventures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4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17.3%</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16.0%</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17.2%</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15.9%</w:t>
            </w:r>
          </w:p>
        </w:tc>
      </w:tr>
      <w:tr>
        <w:trPr>
          <w:trHeight w:val="20"/>
        </w:trPr>
        <w:tc>
          <w:tcPr>
            <w:tcW w:w="4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5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6.3%</w:t>
            </w:r>
          </w:p>
        </w:tc>
        <w:tc>
          <w:tcPr>
            <w:tcW w:w="1460" w:type="dxa"/>
            <w:vAlign w:val="bottom"/>
            <w:tcBorders>
              <w:right w:val="single" w:sz="8" w:color="CFF0FC"/>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6.7%</w:t>
            </w:r>
          </w:p>
        </w:tc>
        <w:tc>
          <w:tcPr>
            <w:tcW w:w="136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4.3%</w:t>
            </w:r>
          </w:p>
        </w:tc>
        <w:tc>
          <w:tcPr>
            <w:tcW w:w="1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6.6%</w:t>
            </w:r>
          </w:p>
        </w:tc>
      </w:tr>
      <w:tr>
        <w:trPr>
          <w:trHeight w:val="20"/>
        </w:trPr>
        <w:tc>
          <w:tcPr>
            <w:tcW w:w="45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0.1%</w:t>
            </w:r>
          </w:p>
        </w:tc>
        <w:tc>
          <w:tcPr>
            <w:tcW w:w="1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0.1%</w:t>
            </w: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46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(0.8)%</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0.4%</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r>
      <w:tr>
        <w:trPr>
          <w:trHeight w:val="20"/>
        </w:trPr>
        <w:tc>
          <w:tcPr>
            <w:tcW w:w="4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5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other expense</w:t>
            </w:r>
          </w:p>
        </w:tc>
        <w:tc>
          <w:tcPr>
            <w:tcW w:w="1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w:t>
            </w:r>
          </w:p>
        </w:tc>
        <w:tc>
          <w:tcPr>
            <w:tcW w:w="146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(0.6)%</w:t>
            </w:r>
          </w:p>
        </w:tc>
        <w:tc>
          <w:tcPr>
            <w:tcW w:w="1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(0.6)%</w:t>
            </w:r>
          </w:p>
        </w:tc>
        <w:tc>
          <w:tcPr>
            <w:tcW w:w="1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(0.5)%</w:t>
            </w:r>
          </w:p>
        </w:tc>
      </w:tr>
      <w:tr>
        <w:trPr>
          <w:trHeight w:val="20"/>
        </w:trPr>
        <w:tc>
          <w:tcPr>
            <w:tcW w:w="45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4560" w:type="dxa"/>
            <w:vAlign w:val="bottom"/>
          </w:tcPr>
          <w:p>
            <w:pPr>
              <w:ind w:left="120"/>
              <w:spacing w:after="0" w:line="196" w:lineRule="exact"/>
              <w:rPr>
                <w:sz w:val="20"/>
                <w:szCs w:val="20"/>
                <w:color w:val="auto"/>
              </w:rPr>
            </w:pPr>
            <w:r>
              <w:rPr>
                <w:rFonts w:ascii="Arial" w:cs="Arial" w:eastAsia="Arial" w:hAnsi="Arial"/>
                <w:sz w:val="18"/>
                <w:szCs w:val="18"/>
                <w:color w:val="auto"/>
              </w:rPr>
              <w:t>Income before income tax expense</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5.3%</w:t>
            </w:r>
          </w:p>
        </w:tc>
        <w:tc>
          <w:tcPr>
            <w:tcW w:w="1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6.0%</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3.7%</w:t>
            </w: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6.0%</w:t>
            </w: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(1.2)%</w:t>
            </w:r>
          </w:p>
        </w:tc>
        <w:tc>
          <w:tcPr>
            <w:tcW w:w="146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0"/>
        </w:trPr>
        <w:tc>
          <w:tcPr>
            <w:tcW w:w="45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4560" w:type="dxa"/>
            <w:vAlign w:val="bottom"/>
          </w:tcPr>
          <w:p>
            <w:pPr>
              <w:ind w:left="12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5.0%</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4.9%</w:t>
            </w: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146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(0.9)%</w:t>
            </w: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w:t>
            </w:r>
          </w:p>
        </w:tc>
      </w:tr>
      <w:tr>
        <w:trPr>
          <w:trHeight w:val="20"/>
        </w:trPr>
        <w:tc>
          <w:tcPr>
            <w:tcW w:w="45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196"/>
        </w:trPr>
        <w:tc>
          <w:tcPr>
            <w:tcW w:w="4560" w:type="dxa"/>
            <w:vAlign w:val="bottom"/>
          </w:tcPr>
          <w:p>
            <w:pPr>
              <w:ind w:left="12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w:t>
            </w:r>
          </w:p>
        </w:tc>
        <w:tc>
          <w:tcPr>
            <w:tcW w:w="14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4.0%</w:t>
            </w:r>
          </w:p>
        </w:tc>
        <w:tc>
          <w:tcPr>
            <w:tcW w:w="136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1.9%</w:t>
            </w:r>
          </w:p>
        </w:tc>
        <w:tc>
          <w:tcPr>
            <w:tcW w:w="13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3.9%</w:t>
            </w:r>
          </w:p>
        </w:tc>
      </w:tr>
      <w:tr>
        <w:trPr>
          <w:trHeight w:val="20"/>
        </w:trPr>
        <w:tc>
          <w:tcPr>
            <w:tcW w:w="4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-1224915</wp:posOffset>
            </wp:positionV>
            <wp:extent cx="1543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-1224915</wp:posOffset>
            </wp:positionV>
            <wp:extent cx="15430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-1224915</wp:posOffset>
            </wp:positionV>
            <wp:extent cx="1543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-1224915</wp:posOffset>
            </wp:positionV>
            <wp:extent cx="15430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-693420</wp:posOffset>
            </wp:positionV>
            <wp:extent cx="1543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-693420</wp:posOffset>
            </wp:positionV>
            <wp:extent cx="15430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-693420</wp:posOffset>
            </wp:positionV>
            <wp:extent cx="1543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-693420</wp:posOffset>
            </wp:positionV>
            <wp:extent cx="154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-427990</wp:posOffset>
            </wp:positionV>
            <wp:extent cx="1543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-427990</wp:posOffset>
            </wp:positionV>
            <wp:extent cx="15430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-427990</wp:posOffset>
            </wp:positionV>
            <wp:extent cx="1543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-427990</wp:posOffset>
            </wp:positionV>
            <wp:extent cx="1543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-161925</wp:posOffset>
            </wp:positionV>
            <wp:extent cx="15430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-161925</wp:posOffset>
            </wp:positionV>
            <wp:extent cx="1543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-161925</wp:posOffset>
            </wp:positionV>
            <wp:extent cx="1543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-161925</wp:posOffset>
            </wp:positionV>
            <wp:extent cx="1543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Borders>
              <w:bottom w:val="single" w:sz="8" w:color="auto"/>
            </w:tcBorders>
            <w:gridSpan w:val="2"/>
          </w:tcPr>
          <w:p>
            <w:pPr>
              <w:jc w:val="right"/>
              <w:ind w:right="4"/>
              <w:spacing w:after="0" w:line="155" w:lineRule="exact"/>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660" w:type="dxa"/>
            <w:vAlign w:val="bottom"/>
            <w:gridSpan w:val="2"/>
            <w:shd w:val="clear" w:color="auto" w:fill="CFF0FC"/>
          </w:tcPr>
          <w:p>
            <w:pPr>
              <w:jc w:val="right"/>
              <w:ind w:right="26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1,650,548</w:t>
            </w:r>
          </w:p>
        </w:tc>
        <w:tc>
          <w:tcPr>
            <w:tcW w:w="940" w:type="dxa"/>
            <w:vAlign w:val="bottom"/>
            <w:gridSpan w:val="2"/>
            <w:shd w:val="clear" w:color="auto" w:fill="CFF0FC"/>
          </w:tcPr>
          <w:p>
            <w:pPr>
              <w:jc w:val="right"/>
              <w:ind w:right="508"/>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1,621,748</w:t>
            </w:r>
          </w:p>
        </w:tc>
        <w:tc>
          <w:tcPr>
            <w:tcW w:w="1220" w:type="dxa"/>
            <w:vAlign w:val="bottom"/>
            <w:gridSpan w:val="2"/>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28,800</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Revenue increased $28.8 million for the three months ended September 30, 2026 when compared to the corresponding period last year, due to an increase in revenue in our Federal Solutions segment of $15.9 million and an increase in revenue in our Critical Infrastructure Segment of $12.9 million. See “Segment Results” below for a further discussion of the changes in the Company's revenue.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924"/>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5"/>
              <w:spacing w:after="0" w:line="155" w:lineRule="exact"/>
              <w:rPr>
                <w:sz w:val="20"/>
                <w:szCs w:val="20"/>
                <w:color w:val="auto"/>
              </w:rPr>
            </w:pPr>
            <w:r>
              <w:rPr>
                <w:rFonts w:ascii="Arial" w:cs="Arial" w:eastAsia="Arial" w:hAnsi="Arial"/>
                <w:sz w:val="14"/>
                <w:szCs w:val="14"/>
                <w:b w:val="1"/>
                <w:bCs w:val="1"/>
                <w:color w:val="auto"/>
              </w:rPr>
              <w:t>September 30, 2026</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4,717,591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4,760,431</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(42,840)</w:t>
            </w:r>
          </w:p>
        </w:tc>
        <w:tc>
          <w:tcPr>
            <w:tcW w:w="4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Revenue decreased $42.8 million for the nine months ended September 30, 2026 when compared to the corresponding period last year, due to a decrease in revenue in our Federal Solutions segment of $112.9 million, partially offset by an increase in revenue in our Critical Infrastructure Segment of $70.0 million. See “Segment Results” below for a further discussion of the changes in the Company's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September 30, 2025</w:t>
            </w:r>
          </w:p>
        </w:tc>
        <w:tc>
          <w:tcPr>
            <w:tcW w:w="280" w:type="dxa"/>
            <w:vAlign w:val="bottom"/>
          </w:tcPr>
          <w:p>
            <w:pPr>
              <w:spacing w:after="0"/>
              <w:rPr>
                <w:sz w:val="13"/>
                <w:szCs w:val="13"/>
                <w:color w:val="auto"/>
              </w:rPr>
            </w:pPr>
          </w:p>
        </w:tc>
        <w:tc>
          <w:tcPr>
            <w:tcW w:w="11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Dollar</w:t>
            </w: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1,268,481</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1,261,893</w:t>
            </w:r>
          </w:p>
        </w:tc>
        <w:tc>
          <w:tcPr>
            <w:tcW w:w="1400" w:type="dxa"/>
            <w:vAlign w:val="bottom"/>
            <w:gridSpan w:val="2"/>
            <w:shd w:val="clear" w:color="auto" w:fill="CFF0FC"/>
          </w:tcPr>
          <w:p>
            <w:pPr>
              <w:jc w:val="right"/>
              <w:ind w:right="948"/>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6,588</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right="40" w:firstLine="644"/>
        <w:spacing w:after="0" w:line="244" w:lineRule="auto"/>
        <w:rPr>
          <w:sz w:val="20"/>
          <w:szCs w:val="20"/>
          <w:color w:val="auto"/>
        </w:rPr>
      </w:pPr>
      <w:r>
        <w:rPr>
          <w:rFonts w:ascii="Arial" w:cs="Arial" w:eastAsia="Arial" w:hAnsi="Arial"/>
          <w:sz w:val="18"/>
          <w:szCs w:val="18"/>
          <w:color w:val="auto"/>
        </w:rPr>
        <w:t>Direct cost of contracts increased $6.6 million for the three months ended September 30, 2026 when compared to the corresponding period last year, primarily due to an increase of $ 8.5 million in our Federal Solutions segment, partially offset by a decrease of $1.9 million in our Critical Infrastructure segment. The increase in direct costs of contracts in the Federal Solutions segment is primarily related to increased volume from new and existing contracts. See “Segment Results” below for further discussion. The decrease in direct costs of contracts in the Critical Infrastructure segment is primarily related to decreased volume on contracts with significant pass-through costs.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jc w:val="right"/>
              <w:ind w:right="111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September 30, 2025</w:t>
            </w:r>
          </w:p>
        </w:tc>
        <w:tc>
          <w:tcPr>
            <w:tcW w:w="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9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3,682,866</w:t>
            </w:r>
          </w:p>
        </w:tc>
        <w:tc>
          <w:tcPr>
            <w:tcW w:w="4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3,698,240</w:t>
            </w:r>
          </w:p>
        </w:tc>
        <w:tc>
          <w:tcPr>
            <w:tcW w:w="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(15,374)</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644"/>
        <w:spacing w:after="0" w:line="244" w:lineRule="auto"/>
        <w:rPr>
          <w:sz w:val="20"/>
          <w:szCs w:val="20"/>
          <w:color w:val="auto"/>
        </w:rPr>
      </w:pPr>
      <w:r>
        <w:rPr>
          <w:rFonts w:ascii="Arial" w:cs="Arial" w:eastAsia="Arial" w:hAnsi="Arial"/>
          <w:sz w:val="18"/>
          <w:szCs w:val="18"/>
          <w:color w:val="auto"/>
        </w:rPr>
        <w:t>Direct cost of contracts decreased $15.4 million for the nine months ended September 30, 2026 when compared to the corresponding period last year, primarily due to a decrease of $43.1 million in our Federal Solutions segment and an increase of $27.8 million in our Critical Infrastructure segment. The decrease in direct costs of contracts in the Federal Solutions segment is primarily related to reduced volume from our confidential contract. See “Segment Results” below for further discussion. The increase in direct costs of contracts in the Critical Infrastructure segment is primarily related to increased volume from new and existing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(losses) of unconsolidated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6"/>
        </w:trPr>
        <w:tc>
          <w:tcPr>
            <w:tcW w:w="4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4"/>
                <w:szCs w:val="14"/>
                <w:color w:val="auto"/>
              </w:rPr>
            </w:pPr>
          </w:p>
        </w:tc>
      </w:tr>
      <w:tr>
        <w:trPr>
          <w:trHeight w:val="196"/>
        </w:trPr>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720" w:type="dxa"/>
            <w:vAlign w:val="bottom"/>
            <w:gridSpan w:val="2"/>
            <w:shd w:val="clear" w:color="auto" w:fill="CFF0FC"/>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7,242</w:t>
            </w:r>
          </w:p>
        </w:tc>
        <w:tc>
          <w:tcPr>
            <w:tcW w:w="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8,266</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(1,024)</w:t>
            </w:r>
          </w:p>
        </w:tc>
        <w:tc>
          <w:tcPr>
            <w:tcW w:w="3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(12.4)%</w:t>
            </w:r>
          </w:p>
        </w:tc>
      </w:tr>
    </w:tbl>
    <w:p>
      <w:pPr>
        <w:spacing w:after="0" w:line="184" w:lineRule="exact"/>
        <w:rPr>
          <w:sz w:val="20"/>
          <w:szCs w:val="20"/>
          <w:color w:val="auto"/>
        </w:rPr>
      </w:pPr>
    </w:p>
    <w:p>
      <w:pPr>
        <w:ind w:right="140" w:firstLine="644"/>
        <w:spacing w:after="0" w:line="253" w:lineRule="auto"/>
        <w:rPr>
          <w:sz w:val="20"/>
          <w:szCs w:val="20"/>
          <w:color w:val="auto"/>
        </w:rPr>
      </w:pPr>
      <w:r>
        <w:rPr>
          <w:rFonts w:ascii="Arial" w:cs="Arial" w:eastAsia="Arial" w:hAnsi="Arial"/>
          <w:sz w:val="18"/>
          <w:szCs w:val="18"/>
          <w:color w:val="auto"/>
        </w:rPr>
        <w:t>Equity in earnings of unconsolidated joint ventures decreased by $1.0 million for the three months ended September 30, 2026 compared to the corresponding period last year due to a reduction in joint venture volume. The Company is winding down its participation in construction joint ventures.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vMerge w:val="continue"/>
          </w:tcPr>
          <w:p>
            <w:pPr>
              <w:spacing w:after="0"/>
              <w:rPr>
                <w:sz w:val="13"/>
                <w:szCs w:val="13"/>
                <w:color w:val="auto"/>
              </w:rPr>
            </w:pPr>
          </w:p>
        </w:tc>
        <w:tc>
          <w:tcPr>
            <w:tcW w:w="16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September 30, 2026</w:t>
            </w:r>
          </w:p>
        </w:tc>
        <w:tc>
          <w:tcPr>
            <w:tcW w:w="1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Dollar</w:t>
            </w:r>
          </w:p>
        </w:tc>
        <w:tc>
          <w:tcPr>
            <w:tcW w:w="10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Equity in (losses) earnings of unconsolidated joint</w:t>
            </w:r>
          </w:p>
        </w:tc>
        <w:tc>
          <w:tcPr>
            <w:tcW w:w="4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ventures</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(20,350)</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6,937</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(27,287)</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40" w:firstLine="644"/>
        <w:spacing w:after="0" w:line="253" w:lineRule="auto"/>
        <w:rPr>
          <w:sz w:val="20"/>
          <w:szCs w:val="20"/>
          <w:color w:val="auto"/>
        </w:rPr>
      </w:pPr>
      <w:r>
        <w:rPr>
          <w:rFonts w:ascii="Arial" w:cs="Arial" w:eastAsia="Arial" w:hAnsi="Arial"/>
          <w:sz w:val="18"/>
          <w:szCs w:val="18"/>
          <w:color w:val="auto"/>
        </w:rPr>
        <w:t>Equity in (losses) earnings of unconsolidated joint ventures changed by $27.3 million for the nine months ended September 30, 2026 compared to the corresponding period last year primarily due to a write down in the Critical Infrastructure segment. The Company is winding down its participation in construction joint ventures.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bottom w:val="single" w:sz="8" w:color="auto"/>
            </w:tcBorders>
            <w:gridSpan w:val="2"/>
          </w:tcPr>
          <w:p>
            <w:pPr>
              <w:jc w:val="right"/>
              <w:ind w:right="19"/>
              <w:spacing w:after="0" w:line="155" w:lineRule="exact"/>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800" w:type="dxa"/>
            <w:vAlign w:val="bottom"/>
            <w:gridSpan w:val="2"/>
            <w:shd w:val="clear" w:color="auto" w:fill="CFF0FC"/>
          </w:tcPr>
          <w:p>
            <w:pPr>
              <w:jc w:val="right"/>
              <w:ind w:right="328"/>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285,490</w:t>
            </w:r>
          </w:p>
        </w:tc>
        <w:tc>
          <w:tcPr>
            <w:tcW w:w="840" w:type="dxa"/>
            <w:vAlign w:val="bottom"/>
            <w:gridSpan w:val="2"/>
            <w:shd w:val="clear" w:color="auto" w:fill="CFF0FC"/>
          </w:tcPr>
          <w:p>
            <w:pPr>
              <w:jc w:val="right"/>
              <w:ind w:right="528"/>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260,166</w:t>
            </w: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25,324</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As a percentage of revenue, our SG&amp;A increased by 1.3% to 17.3% for the three months ended September 30, 2026 compared to 16.0% for the corresponding period last year. The increase in SG&amp;A was primarily due to acquisitions, intangible asset amortization associated with the Company's acquisitions, technology investments and the increase in the estimated fair value of the ATC contingent consideration as compared to the corresponding period last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September 30, 2025</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813,587</w:t>
            </w:r>
          </w:p>
        </w:tc>
        <w:tc>
          <w:tcPr>
            <w:tcW w:w="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756,279</w:t>
            </w:r>
          </w:p>
        </w:tc>
        <w:tc>
          <w:tcPr>
            <w:tcW w:w="5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57,308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As a percentage of revenue, our SG&amp;A increased by 1.4% to 17.2% for the nine months ended September 30, 2026 compared to 15.9% for the corresponding period last year. The increase in SG&amp;A was primarily due to higher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200"/>
        <w:spacing w:after="0" w:line="271" w:lineRule="auto"/>
        <w:rPr>
          <w:sz w:val="20"/>
          <w:szCs w:val="20"/>
          <w:color w:val="auto"/>
        </w:rPr>
      </w:pPr>
      <w:r>
        <w:rPr>
          <w:rFonts w:ascii="Arial" w:cs="Arial" w:eastAsia="Arial" w:hAnsi="Arial"/>
          <w:sz w:val="18"/>
          <w:szCs w:val="18"/>
          <w:color w:val="auto"/>
        </w:rPr>
        <w:t>transaction costs, acquisitions, intangible asset amortization associated with the Company's acquisitions, and the increase in the estimated fair value of the ATC contingent consideration as compared to the corresponding period last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3"/>
                <w:szCs w:val="13"/>
                <w:color w:val="auto"/>
              </w:rPr>
            </w:pPr>
          </w:p>
        </w:tc>
        <w:tc>
          <w:tcPr>
            <w:tcW w:w="164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tcBorders>
              <w:right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864</w:t>
            </w:r>
          </w:p>
        </w:tc>
        <w:tc>
          <w:tcPr>
            <w:tcW w:w="220" w:type="dxa"/>
            <w:vAlign w:val="bottom"/>
            <w:shd w:val="clear" w:color="auto" w:fill="CFF0FC"/>
          </w:tcPr>
          <w:p>
            <w:pPr>
              <w:spacing w:after="0"/>
              <w:rPr>
                <w:sz w:val="17"/>
                <w:szCs w:val="17"/>
                <w:color w:val="auto"/>
              </w:rPr>
            </w:pPr>
          </w:p>
        </w:tc>
        <w:tc>
          <w:tcPr>
            <w:tcW w:w="800" w:type="dxa"/>
            <w:vAlign w:val="bottom"/>
            <w:tcBorders>
              <w:left w:val="single" w:sz="8" w:color="CFF0FC"/>
            </w:tcBorders>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1,839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(975)</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(16,301)</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(13,535)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(2,766)</w:t>
            </w:r>
          </w:p>
        </w:tc>
        <w:tc>
          <w:tcPr>
            <w:tcW w:w="36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366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FF0FC"/>
          </w:tcPr>
          <w:p>
            <w:pPr>
              <w:spacing w:after="0"/>
              <w:rPr>
                <w:sz w:val="17"/>
                <w:szCs w:val="17"/>
                <w:color w:val="auto"/>
              </w:rPr>
            </w:pPr>
          </w:p>
        </w:tc>
        <w:tc>
          <w:tcPr>
            <w:tcW w:w="15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7"/>
                <w:szCs w:val="17"/>
                <w:color w:val="auto"/>
              </w:rPr>
            </w:pPr>
          </w:p>
        </w:tc>
        <w:tc>
          <w:tcPr>
            <w:tcW w:w="800" w:type="dxa"/>
            <w:vAlign w:val="bottom"/>
            <w:tcBorders>
              <w:left w:val="single" w:sz="8" w:color="CFF0FC"/>
            </w:tcBorders>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0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(2,095)</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36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tcBorders>
              <w:lef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Pr>
          <w:p>
            <w:pPr>
              <w:ind w:left="100"/>
              <w:spacing w:after="0" w:line="196" w:lineRule="exact"/>
              <w:rPr>
                <w:sz w:val="20"/>
                <w:szCs w:val="20"/>
                <w:color w:val="auto"/>
              </w:rPr>
            </w:pPr>
            <w:r>
              <w:rPr>
                <w:rFonts w:ascii="Arial" w:cs="Arial" w:eastAsia="Arial" w:hAnsi="Arial"/>
                <w:sz w:val="18"/>
                <w:szCs w:val="18"/>
                <w:color w:val="auto"/>
              </w:rPr>
              <w:t>Total other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(15,962)</w:t>
            </w:r>
          </w:p>
        </w:tc>
        <w:tc>
          <w:tcPr>
            <w:tcW w:w="220" w:type="dxa"/>
            <w:vAlign w:val="bottom"/>
          </w:tcPr>
          <w:p>
            <w:pPr>
              <w:spacing w:after="0"/>
              <w:rPr>
                <w:sz w:val="17"/>
                <w:szCs w:val="17"/>
                <w:color w:val="auto"/>
              </w:rPr>
            </w:pPr>
          </w:p>
        </w:tc>
        <w:tc>
          <w:tcPr>
            <w:tcW w:w="800" w:type="dxa"/>
            <w:vAlign w:val="bottom"/>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(10,126)</w:t>
            </w:r>
          </w:p>
        </w:tc>
        <w:tc>
          <w:tcPr>
            <w:tcW w:w="120" w:type="dxa"/>
            <w:vAlign w:val="bottom"/>
          </w:tcPr>
          <w:p>
            <w:pPr>
              <w:spacing w:after="0"/>
              <w:rPr>
                <w:sz w:val="17"/>
                <w:szCs w:val="17"/>
                <w:color w:val="auto"/>
              </w:rPr>
            </w:pPr>
          </w:p>
        </w:tc>
        <w:tc>
          <w:tcPr>
            <w:tcW w:w="46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(5,836)</w:t>
            </w:r>
          </w:p>
        </w:tc>
        <w:tc>
          <w:tcPr>
            <w:tcW w:w="360" w:type="dxa"/>
            <w:vAlign w:val="bottom"/>
          </w:tcPr>
          <w:p>
            <w:pPr>
              <w:spacing w:after="0"/>
              <w:rPr>
                <w:sz w:val="17"/>
                <w:szCs w:val="17"/>
                <w:color w:val="auto"/>
              </w:rPr>
            </w:pP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Variance</w:t>
            </w:r>
          </w:p>
        </w:tc>
        <w:tc>
          <w:tcPr>
            <w:tcW w:w="1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6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September 30, 2026</w:t>
            </w:r>
          </w:p>
        </w:tc>
        <w:tc>
          <w:tcPr>
            <w:tcW w:w="220" w:type="dxa"/>
            <w:vAlign w:val="bottom"/>
          </w:tcPr>
          <w:p>
            <w:pPr>
              <w:spacing w:after="0"/>
              <w:rPr>
                <w:sz w:val="13"/>
                <w:szCs w:val="13"/>
                <w:color w:val="auto"/>
              </w:rPr>
            </w:pPr>
          </w:p>
        </w:tc>
        <w:tc>
          <w:tcPr>
            <w:tcW w:w="1740" w:type="dxa"/>
            <w:vAlign w:val="bottom"/>
            <w:tcBorders>
              <w:bottom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September 30, 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tcBorders>
              <w:right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3,240</w:t>
            </w:r>
          </w:p>
        </w:tc>
        <w:tc>
          <w:tcPr>
            <w:tcW w:w="220" w:type="dxa"/>
            <w:vAlign w:val="bottom"/>
            <w:shd w:val="clear" w:color="auto" w:fill="CFF0FC"/>
          </w:tcPr>
          <w:p>
            <w:pPr>
              <w:spacing w:after="0"/>
              <w:rPr>
                <w:sz w:val="17"/>
                <w:szCs w:val="17"/>
                <w:color w:val="auto"/>
              </w:rPr>
            </w:pPr>
          </w:p>
        </w:tc>
        <w:tc>
          <w:tcPr>
            <w:tcW w:w="800" w:type="dxa"/>
            <w:vAlign w:val="bottom"/>
            <w:tcBorders>
              <w:left w:val="single" w:sz="8" w:color="CFF0FC"/>
            </w:tcBorders>
            <w:shd w:val="clear" w:color="auto" w:fill="CFF0FC"/>
          </w:tcPr>
          <w:p>
            <w:pPr>
              <w:jc w:val="right"/>
              <w:ind w:right="556"/>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5,049</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right w:val="single" w:sz="8" w:color="CFF0FC"/>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(1,809)</w:t>
            </w: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(48,685)</w:t>
            </w:r>
          </w:p>
        </w:tc>
        <w:tc>
          <w:tcPr>
            <w:tcW w:w="800" w:type="dxa"/>
            <w:vAlign w:val="bottom"/>
          </w:tcPr>
          <w:p>
            <w:pPr>
              <w:spacing w:after="0"/>
              <w:rPr>
                <w:sz w:val="17"/>
                <w:szCs w:val="17"/>
                <w:color w:val="auto"/>
              </w:rPr>
            </w:pPr>
          </w:p>
        </w:tc>
        <w:tc>
          <w:tcPr>
            <w:tcW w:w="10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(38,350)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(10,335)</w:t>
            </w:r>
          </w:p>
        </w:tc>
        <w:tc>
          <w:tcPr>
            <w:tcW w:w="360" w:type="dxa"/>
            <w:vAlign w:val="bottom"/>
          </w:tcPr>
          <w:p>
            <w:pPr>
              <w:spacing w:after="0"/>
              <w:rPr>
                <w:sz w:val="17"/>
                <w:szCs w:val="17"/>
                <w:color w:val="auto"/>
              </w:rPr>
            </w:pPr>
          </w:p>
        </w:tc>
        <w:tc>
          <w:tcPr>
            <w:tcW w:w="1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3"/>
        </w:trPr>
        <w:tc>
          <w:tcPr>
            <w:tcW w:w="3660" w:type="dxa"/>
            <w:vAlign w:val="bottom"/>
            <w:tcBorders>
              <w:right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7"/>
                <w:szCs w:val="17"/>
                <w:color w:val="auto"/>
              </w:rPr>
            </w:pPr>
          </w:p>
        </w:tc>
        <w:tc>
          <w:tcPr>
            <w:tcW w:w="15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17,569</w:t>
            </w:r>
          </w:p>
        </w:tc>
        <w:tc>
          <w:tcPr>
            <w:tcW w:w="220" w:type="dxa"/>
            <w:vAlign w:val="bottom"/>
            <w:shd w:val="clear" w:color="auto" w:fill="CFF0FC"/>
          </w:tcPr>
          <w:p>
            <w:pPr>
              <w:spacing w:after="0"/>
              <w:rPr>
                <w:sz w:val="17"/>
                <w:szCs w:val="17"/>
                <w:color w:val="auto"/>
              </w:rPr>
            </w:pPr>
          </w:p>
        </w:tc>
        <w:tc>
          <w:tcPr>
            <w:tcW w:w="800" w:type="dxa"/>
            <w:vAlign w:val="bottom"/>
            <w:tcBorders>
              <w:left w:val="single" w:sz="8" w:color="CFF0FC"/>
            </w:tcBorders>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8,224</w:t>
            </w: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9,345</w:t>
            </w:r>
          </w:p>
        </w:tc>
        <w:tc>
          <w:tcPr>
            <w:tcW w:w="220" w:type="dxa"/>
            <w:vAlign w:val="bottom"/>
            <w:tcBorders>
              <w:right w:val="single" w:sz="8" w:color="CFF0FC"/>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
        </w:trPr>
        <w:tc>
          <w:tcPr>
            <w:tcW w:w="36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tcBorders>
              <w:left w:val="single" w:sz="8" w:color="CFF0FC"/>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tcPr>
          <w:p>
            <w:pPr>
              <w:ind w:left="100"/>
              <w:spacing w:after="0" w:line="196" w:lineRule="exact"/>
              <w:rPr>
                <w:sz w:val="20"/>
                <w:szCs w:val="20"/>
                <w:color w:val="auto"/>
              </w:rPr>
            </w:pPr>
            <w:r>
              <w:rPr>
                <w:rFonts w:ascii="Arial" w:cs="Arial" w:eastAsia="Arial" w:hAnsi="Arial"/>
                <w:sz w:val="18"/>
                <w:szCs w:val="18"/>
                <w:color w:val="auto"/>
              </w:rPr>
              <w:t>Total other expense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(27,876)</w:t>
            </w:r>
          </w:p>
        </w:tc>
        <w:tc>
          <w:tcPr>
            <w:tcW w:w="800" w:type="dxa"/>
            <w:vAlign w:val="bottom"/>
          </w:tcPr>
          <w:p>
            <w:pPr>
              <w:jc w:val="right"/>
              <w:ind w:right="556"/>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(25,077)</w:t>
            </w: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(2,799)</w:t>
            </w:r>
          </w:p>
        </w:tc>
        <w:tc>
          <w:tcPr>
            <w:tcW w:w="360" w:type="dxa"/>
            <w:vAlign w:val="bottom"/>
          </w:tcPr>
          <w:p>
            <w:pPr>
              <w:spacing w:after="0"/>
              <w:rPr>
                <w:sz w:val="17"/>
                <w:szCs w:val="17"/>
                <w:color w:val="auto"/>
              </w:rPr>
            </w:pPr>
          </w:p>
        </w:tc>
        <w:tc>
          <w:tcPr>
            <w:tcW w:w="15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-1224915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-1224915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-1224915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-1224915</wp:posOffset>
            </wp:positionV>
            <wp:extent cx="1543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-162560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-162560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-162560</wp:posOffset>
            </wp:positionV>
            <wp:extent cx="1543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ind w:right="140" w:firstLine="636"/>
        <w:spacing w:after="0" w:line="271" w:lineRule="auto"/>
        <w:rPr>
          <w:sz w:val="20"/>
          <w:szCs w:val="20"/>
          <w:color w:val="auto"/>
        </w:rPr>
      </w:pPr>
      <w:r>
        <w:rPr>
          <w:rFonts w:ascii="Arial" w:cs="Arial" w:eastAsia="Arial" w:hAnsi="Arial"/>
          <w:sz w:val="18"/>
          <w:szCs w:val="18"/>
          <w:color w:val="auto"/>
        </w:rPr>
        <w:t>Interest expense for the three and nine months ended September 30, 2026 and September 30, 2025 is primarily due to debt related to our Convertible Senior Notes, Term Loan, and Revolving Credit Facility.</w:t>
      </w:r>
    </w:p>
    <w:p>
      <w:pPr>
        <w:spacing w:after="0" w:line="15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amounts in other income (expense), net are primarily related to a gain on sale of business, transaction gains and losses on foreign currency transactions and sublease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80" w:type="dxa"/>
            <w:vAlign w:val="bottom"/>
          </w:tcPr>
          <w:p>
            <w:pPr>
              <w:spacing w:after="0"/>
              <w:rPr>
                <w:sz w:val="14"/>
                <w:szCs w:val="14"/>
                <w:color w:val="auto"/>
              </w:rPr>
            </w:pPr>
          </w:p>
        </w:tc>
        <w:tc>
          <w:tcPr>
            <w:tcW w:w="3920" w:type="dxa"/>
            <w:vAlign w:val="bottom"/>
            <w:gridSpan w:val="6"/>
          </w:tcPr>
          <w:p>
            <w:pPr>
              <w:ind w:left="10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September 30, 2026</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September 30, 2025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Dollar</w:t>
            </w:r>
          </w:p>
        </w:tc>
        <w:tc>
          <w:tcPr>
            <w:tcW w:w="5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FF0FC"/>
          </w:tcPr>
          <w:p>
            <w:pPr>
              <w:ind w:left="1080"/>
              <w:spacing w:after="0" w:line="196" w:lineRule="exact"/>
              <w:rPr>
                <w:sz w:val="20"/>
                <w:szCs w:val="20"/>
                <w:color w:val="auto"/>
              </w:rPr>
            </w:pPr>
            <w:r>
              <w:rPr>
                <w:rFonts w:ascii="Arial" w:cs="Arial" w:eastAsia="Arial" w:hAnsi="Arial"/>
                <w:sz w:val="18"/>
                <w:szCs w:val="18"/>
                <w:color w:val="auto"/>
              </w:rPr>
              <w:t>20,446</w:t>
            </w:r>
          </w:p>
        </w:tc>
        <w:tc>
          <w:tcPr>
            <w:tcW w:w="3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16,035</w:t>
            </w:r>
          </w:p>
        </w:tc>
        <w:tc>
          <w:tcPr>
            <w:tcW w:w="1400" w:type="dxa"/>
            <w:vAlign w:val="bottom"/>
            <w:gridSpan w:val="2"/>
            <w:shd w:val="clear" w:color="auto" w:fill="CFF0FC"/>
          </w:tcPr>
          <w:p>
            <w:pPr>
              <w:jc w:val="right"/>
              <w:ind w:right="1068"/>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4,411</w:t>
            </w:r>
          </w:p>
        </w:tc>
        <w:tc>
          <w:tcPr>
            <w:tcW w:w="4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60" w:firstLine="636"/>
        <w:spacing w:after="0" w:line="242" w:lineRule="auto"/>
        <w:rPr>
          <w:sz w:val="20"/>
          <w:szCs w:val="20"/>
          <w:color w:val="auto"/>
        </w:rPr>
      </w:pPr>
      <w:r>
        <w:rPr>
          <w:rFonts w:ascii="Arial" w:cs="Arial" w:eastAsia="Arial" w:hAnsi="Arial"/>
          <w:sz w:val="18"/>
          <w:szCs w:val="18"/>
          <w:color w:val="auto"/>
        </w:rPr>
        <w:t>The Company’s effective tax rate was 23.3% and 16.4% and income tax expense was $20.4 million and $16.0 million for the three months ended September 30, 2026 and September 30, 2025, respectively. The increase in tax expense for the three months ended September 30, 2026 compared to the three months ended September 30, 2025 was due primarily to increases in valuation allowances on foreign tax credit carryovers (FTCs) and a decrease in the current three month period compared to the corresponding period last year in discrete tax benefits primarily resulting from the expiration of the statute of limitations and re-evaluation of tax positions related to certain unrecognized tax benefits, partially offset by a change in jurisdictional mix of earnings.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September 30, 2026</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September 30, 2025</w:t>
            </w:r>
          </w:p>
        </w:tc>
        <w:tc>
          <w:tcPr>
            <w:tcW w:w="30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6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40,755</w:t>
            </w:r>
          </w:p>
        </w:tc>
        <w:tc>
          <w:tcPr>
            <w:tcW w:w="4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53,702</w:t>
            </w:r>
          </w:p>
        </w:tc>
        <w:tc>
          <w:tcPr>
            <w:tcW w:w="1420" w:type="dxa"/>
            <w:vAlign w:val="bottom"/>
            <w:gridSpan w:val="2"/>
            <w:shd w:val="clear" w:color="auto" w:fill="CFF0FC"/>
          </w:tcPr>
          <w:p>
            <w:pPr>
              <w:jc w:val="right"/>
              <w:ind w:right="94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(12,947)</w:t>
            </w: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firstLine="636"/>
        <w:spacing w:after="0"/>
        <w:rPr>
          <w:sz w:val="20"/>
          <w:szCs w:val="20"/>
          <w:color w:val="auto"/>
        </w:rPr>
      </w:pPr>
      <w:r>
        <w:rPr>
          <w:rFonts w:ascii="Arial" w:cs="Arial" w:eastAsia="Arial" w:hAnsi="Arial"/>
          <w:sz w:val="18"/>
          <w:szCs w:val="18"/>
          <w:color w:val="auto"/>
        </w:rPr>
        <w:t>The Company’s effective income tax rate was 23.6% and 18.7% for the nine months ended September 30, 2026 and September 30, 2025, respectively. Income tax expense was $40.8 million and $53.7 million for the nine months ended September 30, 2026 and September 30, 2025, respectively. The decrease in tax expense for the nine months ended September 30, 2026 compared to the nine months ended September 30, 2025 was due primarily to the tax impact of a decrease in pre-tax income and a change in jurisdictional mix of earnings, partially offset by increases in valuation allowances on foreign net operating loss carryovers (NOLs) and FTCs, and a decrease in the current nine month period compared to the corresponding period last year in discrete tax benefits primarily resulting from the expiration of the statute of limitations and re-evaluation of tax positions related to certain unrecognized tax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center"/>
              <w:ind w:right="40"/>
              <w:spacing w:after="0" w:line="147"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280" w:type="dxa"/>
            <w:vAlign w:val="bottom"/>
            <w:tcBorders>
              <w:top w:val="single" w:sz="8" w:color="auto"/>
            </w:tcBorders>
            <w:gridSpan w:val="5"/>
          </w:tcPr>
          <w:p>
            <w:pPr>
              <w:ind w:left="40"/>
              <w:spacing w:after="0" w:line="147" w:lineRule="exact"/>
              <w:rPr>
                <w:sz w:val="20"/>
                <w:szCs w:val="20"/>
                <w:color w:val="auto"/>
              </w:rPr>
            </w:pPr>
            <w:r>
              <w:rPr>
                <w:rFonts w:ascii="Arial" w:cs="Arial" w:eastAsia="Arial" w:hAnsi="Arial"/>
                <w:sz w:val="14"/>
                <w:szCs w:val="14"/>
                <w:b w:val="1"/>
                <w:bCs w:val="1"/>
                <w:color w:val="auto"/>
              </w:rPr>
              <w:t>September 30,</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120"/>
              <w:spacing w:after="0" w:line="147"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2025</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36"/>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4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4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74,126</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72,501</w:t>
            </w:r>
          </w:p>
        </w:tc>
        <w:tc>
          <w:tcPr>
            <w:tcW w:w="4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131,893</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215,105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300" w:type="dxa"/>
            <w:vAlign w:val="bottom"/>
            <w:gridSpan w:val="2"/>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8"/>
                <w:szCs w:val="18"/>
                <w:color w:val="auto"/>
              </w:rPr>
              <w:t>Corporation</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80,254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67,803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188,162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4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13,463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4"/>
              </w:rPr>
              <w:t>17,833</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40,937</w:t>
            </w:r>
          </w:p>
        </w:tc>
        <w:tc>
          <w:tcPr>
            <w:tcW w:w="1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48,756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ind w:left="160"/>
              <w:spacing w:after="0" w:line="196" w:lineRule="exact"/>
              <w:rPr>
                <w:sz w:val="20"/>
                <w:szCs w:val="20"/>
                <w:color w:val="auto"/>
              </w:rPr>
            </w:pPr>
            <w:r>
              <w:rPr>
                <w:rFonts w:ascii="Arial" w:cs="Arial" w:eastAsia="Arial" w:hAnsi="Arial"/>
                <w:sz w:val="18"/>
                <w:szCs w:val="18"/>
                <w:color w:val="auto"/>
              </w:rPr>
              <w:t>Total Adjusted EBITDA</w:t>
            </w:r>
          </w:p>
        </w:tc>
        <w:tc>
          <w:tcPr>
            <w:tcW w:w="400" w:type="dxa"/>
            <w:vAlign w:val="bottom"/>
          </w:tcPr>
          <w:p>
            <w:pPr>
              <w:spacing w:after="0"/>
              <w:rPr>
                <w:sz w:val="17"/>
                <w:szCs w:val="17"/>
                <w:color w:val="auto"/>
              </w:rPr>
            </w:pPr>
          </w:p>
        </w:tc>
        <w:tc>
          <w:tcPr>
            <w:tcW w:w="960" w:type="dxa"/>
            <w:vAlign w:val="bottom"/>
            <w:gridSpan w:val="2"/>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167,843</w:t>
            </w:r>
          </w:p>
        </w:tc>
        <w:tc>
          <w:tcPr>
            <w:tcW w:w="120" w:type="dxa"/>
            <w:vAlign w:val="bottom"/>
          </w:tcPr>
          <w:p>
            <w:pPr>
              <w:spacing w:after="0"/>
              <w:rPr>
                <w:sz w:val="17"/>
                <w:szCs w:val="17"/>
                <w:color w:val="auto"/>
              </w:rPr>
            </w:pPr>
          </w:p>
        </w:tc>
        <w:tc>
          <w:tcPr>
            <w:tcW w:w="360" w:type="dxa"/>
            <w:vAlign w:val="bottom"/>
            <w:gridSpan w:val="2"/>
          </w:tcPr>
          <w:p>
            <w:pPr>
              <w:jc w:val="right"/>
              <w:ind w:right="8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158,137</w:t>
            </w:r>
          </w:p>
        </w:tc>
        <w:tc>
          <w:tcPr>
            <w:tcW w:w="4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360,992</w:t>
            </w:r>
          </w:p>
        </w:tc>
        <w:tc>
          <w:tcPr>
            <w:tcW w:w="18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456,044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3"/>
                <w:szCs w:val="13"/>
                <w:color w:val="auto"/>
              </w:rPr>
            </w:pPr>
          </w:p>
        </w:tc>
        <w:tc>
          <w:tcPr>
            <w:tcW w:w="1360" w:type="dxa"/>
            <w:vAlign w:val="bottom"/>
            <w:tcBorders>
              <w:bottom w:val="single" w:sz="8" w:color="auto"/>
            </w:tcBorders>
            <w:gridSpan w:val="5"/>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396"/>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804,553</w:t>
            </w:r>
          </w:p>
        </w:tc>
        <w:tc>
          <w:tcPr>
            <w:tcW w:w="76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788,607</w:t>
            </w:r>
          </w:p>
        </w:tc>
        <w:tc>
          <w:tcPr>
            <w:tcW w:w="5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15,946</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74,126</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72,501</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-930910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-930910</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-930910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-930910</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The increase in Federal Solutions revenue for the three months ended September 30, 2026 compared to the prior year was primarily driven by acquisitions.</w:t>
      </w:r>
    </w:p>
    <w:p>
      <w:pPr>
        <w:spacing w:after="0" w:line="154" w:lineRule="exact"/>
        <w:rPr>
          <w:sz w:val="20"/>
          <w:szCs w:val="20"/>
          <w:color w:val="auto"/>
        </w:rPr>
      </w:pPr>
    </w:p>
    <w:p>
      <w:pPr>
        <w:ind w:right="180" w:firstLine="644"/>
        <w:spacing w:after="0" w:line="271" w:lineRule="auto"/>
        <w:rPr>
          <w:sz w:val="20"/>
          <w:szCs w:val="20"/>
          <w:color w:val="auto"/>
        </w:rPr>
      </w:pPr>
      <w:r>
        <w:rPr>
          <w:rFonts w:ascii="Arial" w:cs="Arial" w:eastAsia="Arial" w:hAnsi="Arial"/>
          <w:sz w:val="18"/>
          <w:szCs w:val="18"/>
          <w:color w:val="auto"/>
        </w:rPr>
        <w:t>The increase in Federal Solutions Adjusted EBITDA attributable to Parsons Corporation for the three months ended September 30, 2026 compared to the prior year was primarily driven by ramp up of recent awards and contributions from acquisitions.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80" w:type="dxa"/>
            <w:vAlign w:val="bottom"/>
            <w:vMerge w:val="continue"/>
          </w:tcPr>
          <w:p>
            <w:pPr>
              <w:spacing w:after="0"/>
              <w:rPr>
                <w:sz w:val="13"/>
                <w:szCs w:val="13"/>
                <w:color w:val="auto"/>
              </w:rPr>
            </w:pPr>
          </w:p>
        </w:tc>
        <w:tc>
          <w:tcPr>
            <w:tcW w:w="14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3"/>
                <w:szCs w:val="13"/>
                <w:color w:val="auto"/>
              </w:rPr>
            </w:pPr>
          </w:p>
        </w:tc>
        <w:tc>
          <w:tcPr>
            <w:tcW w:w="14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2,323,769</w:t>
            </w:r>
          </w:p>
        </w:tc>
        <w:tc>
          <w:tcPr>
            <w:tcW w:w="820" w:type="dxa"/>
            <w:vAlign w:val="bottom"/>
            <w:gridSpan w:val="2"/>
            <w:shd w:val="clear" w:color="auto" w:fill="CFF0FC"/>
          </w:tcPr>
          <w:p>
            <w:pPr>
              <w:jc w:val="right"/>
              <w:ind w:right="408"/>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2,436,628</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(112,859)</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9"/>
        </w:trPr>
        <w:tc>
          <w:tcPr>
            <w:tcW w:w="478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131,893</w:t>
            </w:r>
          </w:p>
        </w:tc>
        <w:tc>
          <w:tcPr>
            <w:tcW w:w="82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215,105</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(83,212)</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The decrease in Federal Solutions revenue for the nine months ended September 30, 2026 compared to the corresponding period last year was primarily driven by our confidential contract operating at a reduced volume as a result of the Department of State reorganization issued May 29, 2025 and write down on projects. This decrease was partially offset by growth on existing contracts and acquisitions.</w:t>
      </w:r>
    </w:p>
    <w:p>
      <w:pPr>
        <w:spacing w:after="0" w:line="169" w:lineRule="exact"/>
        <w:rPr>
          <w:sz w:val="20"/>
          <w:szCs w:val="20"/>
          <w:color w:val="auto"/>
        </w:rPr>
      </w:pPr>
    </w:p>
    <w:p>
      <w:pPr>
        <w:ind w:right="100" w:firstLine="644"/>
        <w:spacing w:after="0" w:line="247" w:lineRule="auto"/>
        <w:rPr>
          <w:sz w:val="20"/>
          <w:szCs w:val="20"/>
          <w:color w:val="auto"/>
        </w:rPr>
      </w:pPr>
      <w:r>
        <w:rPr>
          <w:rFonts w:ascii="Arial" w:cs="Arial" w:eastAsia="Arial" w:hAnsi="Arial"/>
          <w:sz w:val="18"/>
          <w:szCs w:val="18"/>
          <w:color w:val="auto"/>
        </w:rPr>
        <w:t>The decrease in Federal Solutions Adjusted EBITDA attributable to Parsons Corporation for the nine months ended September 30, 2026 compared to the corresponding period last year was primarily our confidential contract operating at a reduced volume as a result of the Department of State reorganization issued May 29, 2025 and write downs on projects. This decrease was partially offset by growth on existing contracts and acquisitions.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Critical Infrastructure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vMerge w:val="continue"/>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2026</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845,995</w:t>
            </w:r>
          </w:p>
        </w:tc>
        <w:tc>
          <w:tcPr>
            <w:tcW w:w="880" w:type="dxa"/>
            <w:vAlign w:val="bottom"/>
            <w:gridSpan w:val="2"/>
            <w:shd w:val="clear" w:color="auto" w:fill="CFF0FC"/>
          </w:tcPr>
          <w:p>
            <w:pPr>
              <w:ind w:left="24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833,141</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12,854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80,254</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67,803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September 30, 2026 compared to the corresponding period last year was primarily related to organic growth. Organic growth was primarily due to an increase in business volume from existing contracts and ramping up of recent awards.</w:t>
      </w:r>
    </w:p>
    <w:p>
      <w:pPr>
        <w:spacing w:after="0" w:line="169" w:lineRule="exact"/>
        <w:rPr>
          <w:sz w:val="20"/>
          <w:szCs w:val="20"/>
          <w:color w:val="auto"/>
        </w:rPr>
      </w:pPr>
    </w:p>
    <w:p>
      <w:pPr>
        <w:ind w:right="60" w:firstLine="644"/>
        <w:spacing w:after="0" w:line="253"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September 30, 2026 compared to the corresponding period last year was primarily related to the increase in organic revenue noted above and a change in estimate recorded in the comparable period last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6"/>
        </w:trPr>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141"/>
              <w:spacing w:after="0" w:line="147"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r>
      <w:tr>
        <w:trPr>
          <w:trHeight w:val="196"/>
        </w:trPr>
        <w:tc>
          <w:tcPr>
            <w:tcW w:w="4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2,393,822</w:t>
            </w:r>
          </w:p>
        </w:tc>
        <w:tc>
          <w:tcPr>
            <w:tcW w:w="840" w:type="dxa"/>
            <w:vAlign w:val="bottom"/>
            <w:gridSpan w:val="2"/>
            <w:shd w:val="clear" w:color="auto" w:fill="CFF0FC"/>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2,323,803</w:t>
            </w:r>
          </w:p>
        </w:tc>
        <w:tc>
          <w:tcPr>
            <w:tcW w:w="5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70,019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3.0%</w:t>
            </w:r>
          </w:p>
        </w:tc>
      </w:tr>
      <w:tr>
        <w:trPr>
          <w:trHeight w:val="239"/>
        </w:trPr>
        <w:tc>
          <w:tcPr>
            <w:tcW w:w="452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188,162</w:t>
            </w:r>
          </w:p>
        </w:tc>
        <w:tc>
          <w:tcPr>
            <w:tcW w:w="8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192,183</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(4,021)</w:t>
            </w: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bl>
    <w:p>
      <w:pPr>
        <w:spacing w:after="0" w:line="147"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The increase in Critical Infrastructure revenue for the nine months ended September 30, 2026 compared to the corresponding period last year was primarily related to organic growth and business acquisitions. Organic growth was primarily due to an increase in business volume from existing contracts and ramping up of recent awards.</w:t>
      </w:r>
    </w:p>
    <w:p>
      <w:pPr>
        <w:spacing w:after="0" w:line="169" w:lineRule="exact"/>
        <w:rPr>
          <w:sz w:val="20"/>
          <w:szCs w:val="20"/>
          <w:color w:val="auto"/>
        </w:rPr>
      </w:pPr>
    </w:p>
    <w:p>
      <w:pPr>
        <w:jc w:val="both"/>
        <w:ind w:right="220" w:firstLine="644"/>
        <w:spacing w:after="0" w:line="253" w:lineRule="auto"/>
        <w:rPr>
          <w:sz w:val="20"/>
          <w:szCs w:val="20"/>
          <w:color w:val="auto"/>
        </w:rPr>
      </w:pPr>
      <w:r>
        <w:rPr>
          <w:rFonts w:ascii="Arial" w:cs="Arial" w:eastAsia="Arial" w:hAnsi="Arial"/>
          <w:sz w:val="18"/>
          <w:szCs w:val="18"/>
          <w:color w:val="auto"/>
        </w:rPr>
        <w:t>The decrease in Critical Infrastructure Adjusted EBITDA attributable to Parsons Corporation for the nine months ended September 30, 2026 compared to the corresponding period last year was primarily related to the equity in (losses) earnings impacts discussed above. This decrease in Adjusted EBITDA was partially offset by the revenue impacts above.</w:t>
      </w:r>
    </w:p>
    <w:p>
      <w:pPr>
        <w:spacing w:after="0" w:line="27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53"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Term Loan and periodic borrowings under our Revolving Credit Facility, as well as sales of receivables under our MRPA Facility.</w:t>
      </w:r>
    </w:p>
    <w:p>
      <w:pPr>
        <w:spacing w:after="0" w:line="169"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Revolving Credit Facility to meet cash demands. Our management regularly monitors certain liquidity measures to monitor performance. We calculate our available liquidity as a sum of cash and cash equivalents from our consolidated balance sheet plus the amount available and unutilized on our Revolving Credit Facility.</w:t>
      </w:r>
    </w:p>
    <w:p>
      <w:pPr>
        <w:spacing w:after="0" w:line="176" w:lineRule="exact"/>
        <w:rPr>
          <w:sz w:val="20"/>
          <w:szCs w:val="20"/>
          <w:color w:val="auto"/>
        </w:rPr>
      </w:pPr>
    </w:p>
    <w:p>
      <w:pPr>
        <w:ind w:right="420" w:firstLine="636"/>
        <w:spacing w:after="0" w:line="244" w:lineRule="auto"/>
        <w:rPr>
          <w:sz w:val="20"/>
          <w:szCs w:val="20"/>
          <w:color w:val="auto"/>
        </w:rPr>
      </w:pPr>
      <w:r>
        <w:rPr>
          <w:rFonts w:ascii="Arial" w:cs="Arial" w:eastAsia="Arial" w:hAnsi="Arial"/>
          <w:sz w:val="18"/>
          <w:szCs w:val="18"/>
          <w:color w:val="auto"/>
        </w:rPr>
        <w:t>As of September 30, 2026,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8" w:name="page49"/>
    <w:bookmarkEnd w:id="48"/>
    <w:p>
      <w:pPr>
        <w:ind w:right="4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firstLine="644"/>
        <w:spacing w:after="0" w:line="256"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improve working capital. Net DSO was 70 days at September 30, 2026, an 8 day increase from September 30, 2025. Impacting the change in DSO was lower volume from our confidential contract. Our working capital (current assets less current liabilities) was $1.0 billion at September 30, 2026 and $1.2 billion at December 31, 2025.</w:t>
      </w:r>
    </w:p>
    <w:p>
      <w:pPr>
        <w:spacing w:after="0" w:line="168" w:lineRule="exact"/>
        <w:rPr>
          <w:sz w:val="20"/>
          <w:szCs w:val="20"/>
          <w:color w:val="auto"/>
        </w:rPr>
      </w:pPr>
    </w:p>
    <w:p>
      <w:pPr>
        <w:ind w:right="800" w:firstLine="636"/>
        <w:spacing w:after="0" w:line="271" w:lineRule="auto"/>
        <w:rPr>
          <w:sz w:val="20"/>
          <w:szCs w:val="20"/>
          <w:color w:val="auto"/>
        </w:rPr>
      </w:pPr>
      <w:r>
        <w:rPr>
          <w:rFonts w:ascii="Arial" w:cs="Arial" w:eastAsia="Arial" w:hAnsi="Arial"/>
          <w:sz w:val="18"/>
          <w:szCs w:val="18"/>
          <w:color w:val="auto"/>
        </w:rPr>
        <w:t>Our cash and cash equivalents decreased by $169.4 million to $297.0 million at September 30, 2026 from $466.4 million at December 31, 2025.</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September 30, 2025</w:t>
            </w:r>
          </w:p>
        </w:tc>
        <w:tc>
          <w:tcPr>
            <w:tcW w:w="100" w:type="dxa"/>
            <w:vAlign w:val="bottom"/>
          </w:tcPr>
          <w:p>
            <w:pPr>
              <w:spacing w:after="0"/>
              <w:rPr>
                <w:sz w:val="13"/>
                <w:szCs w:val="13"/>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100" w:type="dxa"/>
            <w:vAlign w:val="bottom"/>
            <w:gridSpan w:val="2"/>
            <w:shd w:val="clear" w:color="auto" w:fill="CFF0FC"/>
          </w:tcPr>
          <w:p>
            <w:pPr>
              <w:jc w:val="right"/>
              <w:ind w:right="268"/>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322,619</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508"/>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310,864</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(426,757)</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(188,314)</w:t>
            </w: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6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(64,144)</w:t>
            </w: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(156,456)</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(1,152)</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2,912</w:t>
            </w:r>
          </w:p>
        </w:tc>
        <w:tc>
          <w:tcPr>
            <w:tcW w:w="10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2100" w:type="dxa"/>
            <w:vAlign w:val="bottom"/>
            <w:gridSpan w:val="2"/>
            <w:shd w:val="clear" w:color="auto" w:fill="CFF0FC"/>
          </w:tcPr>
          <w:p>
            <w:pPr>
              <w:jc w:val="right"/>
              <w:ind w:right="268"/>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(169,434)</w:t>
            </w:r>
          </w:p>
        </w:tc>
        <w:tc>
          <w:tcPr>
            <w:tcW w:w="760" w:type="dxa"/>
            <w:vAlign w:val="bottom"/>
            <w:gridSpan w:val="2"/>
            <w:shd w:val="clear" w:color="auto" w:fill="CFF0FC"/>
          </w:tcPr>
          <w:p>
            <w:pPr>
              <w:jc w:val="right"/>
              <w:ind w:right="508"/>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(30,994)</w:t>
            </w: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-25400</wp:posOffset>
            </wp:positionV>
            <wp:extent cx="603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20" w:firstLine="636"/>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losses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280" w:firstLine="636"/>
        <w:spacing w:after="0" w:line="242" w:lineRule="auto"/>
        <w:rPr>
          <w:sz w:val="20"/>
          <w:szCs w:val="20"/>
          <w:color w:val="auto"/>
        </w:rPr>
      </w:pPr>
      <w:r>
        <w:rPr>
          <w:rFonts w:ascii="Arial" w:cs="Arial" w:eastAsia="Arial" w:hAnsi="Arial"/>
          <w:sz w:val="18"/>
          <w:szCs w:val="18"/>
          <w:color w:val="auto"/>
        </w:rPr>
        <w:t>Net cash provided by operating activities increased $11.8 million for the nine months ended September 30, 2026 compared to the nine months ended September 30, 2025. The primary drivers of the increase in cash flows provided by operating activities was a $129.6 million change in cash flows from our working capital accounts (primarily from accounts receivable, accrued expenses and other current liabilities, and contract assets, partially offset by changes in account payable, prepaid expenses and other assets, and contract liabilities), partially offset by a change in net income after adjusting for non-cash items of $87.4 million, income taxes of $15.8 million and long term liabilities of $14.7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Net cash used in investing activities increased $238.4 million for the nine months ended September 30, 2026, when compared to the nine months ended September 30, 2025. This change was primarily driven by a $211.8 million increase in payments for acquisitions, net of cash acquired, a $16.8 million increase in investments in unconsolidated joint ventures, a $20.8 million decrease in return of investments in unconsolidated joint ventures, and a $13.0 million increase in capital expenditures, partially offset by $24.0 million in proceeds from sale of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60" w:firstLine="636"/>
        <w:spacing w:after="0" w:line="271" w:lineRule="auto"/>
        <w:rPr>
          <w:sz w:val="20"/>
          <w:szCs w:val="20"/>
          <w:color w:val="auto"/>
        </w:rPr>
      </w:pPr>
      <w:r>
        <w:rPr>
          <w:rFonts w:ascii="Arial" w:cs="Arial" w:eastAsia="Arial" w:hAnsi="Arial"/>
          <w:sz w:val="18"/>
          <w:szCs w:val="18"/>
          <w:color w:val="auto"/>
        </w:rPr>
        <w:t>Net cash used in financing activities is primarily associated with proceeds from debt, the repayment thereof, and distributions to noncontrolling interests.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firstLine="636"/>
        <w:spacing w:after="0" w:line="247" w:lineRule="auto"/>
        <w:rPr>
          <w:sz w:val="20"/>
          <w:szCs w:val="20"/>
          <w:color w:val="auto"/>
        </w:rPr>
      </w:pPr>
      <w:r>
        <w:rPr>
          <w:rFonts w:ascii="Arial" w:cs="Arial" w:eastAsia="Arial" w:hAnsi="Arial"/>
          <w:sz w:val="18"/>
          <w:szCs w:val="18"/>
          <w:color w:val="auto"/>
        </w:rPr>
        <w:t>Net cash used in financing activities changed by $92.3 million for the nine months ended September 30, 2026 compared to the nine months ended September 30, 2025. The change in cash flows used in financing activities is primarily driven by net proceeds of $116.0 million from our Revolving Credit Facility. Also impacting net cash used in financing activities was a $6.9 million decrease in distributions to noncontrolling interest partially offset by an increase of $45.0 million from repurchase of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We also have in place several secondary bank credit lines for issuing letters of credit, principally for foreign contracts, to support performance and completion guarantees. Letters of credit commitments outstanding under these bank lines aggregated to $335.5 million as of September 30, 2026. Letters of credit outstanding under the Credit Agreement total $40.9 million as of September 30, 2026.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120" w:firstLine="636"/>
        <w:spacing w:after="0" w:line="253" w:lineRule="auto"/>
        <w:rPr>
          <w:sz w:val="20"/>
          <w:szCs w:val="20"/>
          <w:color w:val="auto"/>
        </w:rPr>
      </w:pPr>
      <w:r>
        <w:rPr>
          <w:rFonts w:ascii="Arial" w:cs="Arial" w:eastAsia="Arial" w:hAnsi="Arial"/>
          <w:sz w:val="18"/>
          <w:szCs w:val="18"/>
          <w:color w:val="auto"/>
        </w:rPr>
        <w:t>As of September 30, 2026,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6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2"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judgments, and assumptions that affect the amounts reported. Actual results could differ from those estimates. Our Annual Report on Form 10-K, filed with the SEC on February 11, 2026,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nine months ended September 30, 2026.</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the Company’s Revolving Credit Facility and Term Loan.</w:t>
      </w:r>
    </w:p>
    <w:p>
      <w:pPr>
        <w:spacing w:after="0" w:line="212"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As of September 30, 2026, there was $ 116.0 million outstanding under the Revolving Credit Facility. Borrowings under the Revolving Credit Facility effective June 2025 bear interest at either the Term SOFR rate plus a margin between 1.0% and 1.625% or a base rate (as defined in the Revolving Credit Agreement) plus a margin of between 0% and 0.625%. The rates on September 30, 2026 and December 31, 2025 were 5.3% and 5.0%, respectively.</w:t>
      </w:r>
    </w:p>
    <w:p>
      <w:pPr>
        <w:spacing w:after="0" w:line="106"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As of September 30, 2026, there was $450.0 million outstanding under the Term Loan. Borrowings under the Term Loan Agreement effective June 2025 will bear interest at either an adjusted Term SOFR benchmark rate plus a margin between 0.875% and 1.500% or a base rate plus a margin of between 0% and 0.500% and will initially bear interest at the middle of this range. The rates on September 30, 2026 and December 31, 2025 were 5.2% and 4.8%,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hedge foreign currency cash flows for contract work performed.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Our management carried out, as of September 30, 2026,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September 30, 2026,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100" w:firstLine="636"/>
        <w:spacing w:after="0" w:line="271" w:lineRule="auto"/>
        <w:rPr>
          <w:sz w:val="20"/>
          <w:szCs w:val="20"/>
          <w:color w:val="auto"/>
        </w:rPr>
      </w:pPr>
      <w:r>
        <w:rPr>
          <w:rFonts w:ascii="Arial" w:cs="Arial" w:eastAsia="Arial" w:hAnsi="Arial"/>
          <w:sz w:val="18"/>
          <w:szCs w:val="18"/>
          <w:color w:val="auto"/>
        </w:rPr>
        <w:t>During the third quarter of 2026,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9" w:right="4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4"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Repurchases made by the Company during the first quarter of 2025 were deducted from the reset capacity. In July 2026, the Board further amended this authorization to increase the repurchase capacity by an additional $250 million.</w:t>
      </w:r>
    </w:p>
    <w:p>
      <w:pPr>
        <w:spacing w:after="0" w:line="71" w:lineRule="exact"/>
        <w:rPr>
          <w:sz w:val="20"/>
          <w:szCs w:val="20"/>
          <w:color w:val="auto"/>
        </w:rPr>
      </w:pPr>
    </w:p>
    <w:p>
      <w:pPr>
        <w:ind w:right="160"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the March 2025 authorization, and July 2026 authorization as of September 30, 2026 was not greater than $579.7 million.</w:t>
      </w:r>
    </w:p>
    <w:p>
      <w:pPr>
        <w:spacing w:after="0" w:line="61" w:lineRule="exact"/>
        <w:rPr>
          <w:sz w:val="20"/>
          <w:szCs w:val="20"/>
          <w:color w:val="auto"/>
        </w:rPr>
      </w:pPr>
    </w:p>
    <w:p>
      <w:pPr>
        <w:ind w:right="260" w:firstLine="644"/>
        <w:spacing w:after="0" w:line="271" w:lineRule="auto"/>
        <w:rPr>
          <w:sz w:val="20"/>
          <w:szCs w:val="20"/>
          <w:color w:val="auto"/>
        </w:rPr>
      </w:pPr>
      <w:r>
        <w:rPr>
          <w:rFonts w:ascii="Arial" w:cs="Arial" w:eastAsia="Arial" w:hAnsi="Arial"/>
          <w:sz w:val="18"/>
          <w:szCs w:val="18"/>
          <w:color w:val="auto"/>
        </w:rPr>
        <w:t>As of September 30, 2026, the Company has spent $314.7 million (which includes commissions paid of $0.1 million) repurchasing 5,709,204 shares of common stock at an average price of $55.12 per share.</w:t>
      </w:r>
    </w:p>
    <w:p>
      <w:pPr>
        <w:spacing w:after="0" w:line="46" w:lineRule="exact"/>
        <w:rPr>
          <w:sz w:val="20"/>
          <w:szCs w:val="20"/>
          <w:color w:val="auto"/>
        </w:rPr>
      </w:pPr>
    </w:p>
    <w:p>
      <w:pPr>
        <w:ind w:right="140" w:firstLine="636"/>
        <w:spacing w:after="0" w:line="242"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contributed under the Company’s ESOP and other stock benefit plans. The timing, amount and manner of share repurchases will be determined by the Company in its discretion and may depend upon market conditions and economic circumstances, availability of investment opportunities, the availability and costs of financing, the market price of the Company's common stock, other uses of capital and other factors.</w:t>
      </w:r>
    </w:p>
    <w:p>
      <w:pPr>
        <w:spacing w:after="0" w:line="71" w:lineRule="exact"/>
        <w:rPr>
          <w:sz w:val="20"/>
          <w:szCs w:val="20"/>
          <w:color w:val="auto"/>
        </w:rPr>
      </w:pPr>
    </w:p>
    <w:p>
      <w:pPr>
        <w:ind w:right="300" w:firstLine="644"/>
        <w:spacing w:after="0" w:line="271" w:lineRule="auto"/>
        <w:rPr>
          <w:sz w:val="20"/>
          <w:szCs w:val="20"/>
          <w:color w:val="auto"/>
        </w:rPr>
      </w:pPr>
      <w:r>
        <w:rPr>
          <w:rFonts w:ascii="Arial" w:cs="Arial" w:eastAsia="Arial" w:hAnsi="Arial"/>
          <w:sz w:val="18"/>
          <w:szCs w:val="18"/>
          <w:color w:val="auto"/>
        </w:rPr>
        <w:t>The following table presents information with respect to repurchases of the Company's common stock for the three months ended September 30, 2026.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5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28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8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Period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81"/>
        </w:trPr>
        <w:tc>
          <w:tcPr>
            <w:tcW w:w="42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rPr>
              <w:t>per share (1)</w:t>
            </w:r>
          </w:p>
        </w:tc>
        <w:tc>
          <w:tcPr>
            <w:tcW w:w="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programs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428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July 1 to 31, 2026</w:t>
            </w: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462,000</w:t>
            </w:r>
          </w:p>
        </w:tc>
        <w:tc>
          <w:tcPr>
            <w:tcW w:w="4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43.51</w:t>
            </w:r>
          </w:p>
        </w:tc>
        <w:tc>
          <w:tcPr>
            <w:tcW w:w="17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462,000</w:t>
            </w:r>
          </w:p>
        </w:tc>
        <w:tc>
          <w:tcPr>
            <w:tcW w:w="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304,909,855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August 1 to 31, 2026</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852,695</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47.92</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832,695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265,009,045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September 1 to 30, 2026</w:t>
            </w: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265,009,045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1,314,695</w:t>
            </w:r>
          </w:p>
        </w:tc>
        <w:tc>
          <w:tcPr>
            <w:tcW w:w="400" w:type="dxa"/>
            <w:vAlign w:val="bottom"/>
          </w:tcPr>
          <w:p>
            <w:pPr>
              <w:spacing w:after="0"/>
              <w:rPr>
                <w:sz w:val="17"/>
                <w:szCs w:val="17"/>
                <w:color w:val="auto"/>
              </w:rPr>
            </w:pPr>
          </w:p>
        </w:tc>
        <w:tc>
          <w:tcPr>
            <w:tcW w:w="240" w:type="dxa"/>
            <w:vAlign w:val="bottom"/>
            <w:gridSpan w:val="2"/>
          </w:tcPr>
          <w:p>
            <w:pPr>
              <w:jc w:val="right"/>
              <w:ind w:right="28"/>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46.37</w:t>
            </w:r>
          </w:p>
        </w:tc>
        <w:tc>
          <w:tcPr>
            <w:tcW w:w="1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1,294,695</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265,009,045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-162560</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-162560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commissions in the calculation of average price per share.</w:t>
      </w:r>
    </w:p>
    <w:p>
      <w:pPr>
        <w:spacing w:after="0" w:line="113" w:lineRule="exact"/>
        <w:rPr>
          <w:rFonts w:ascii="Arial" w:cs="Arial" w:eastAsia="Arial" w:hAnsi="Arial"/>
          <w:sz w:val="16"/>
          <w:szCs w:val="16"/>
          <w:color w:val="auto"/>
        </w:rPr>
      </w:pPr>
    </w:p>
    <w:p>
      <w:pPr>
        <w:ind w:left="520" w:right="320" w:hanging="512"/>
        <w:spacing w:after="0" w:line="286"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20,000 shares purchased by affiliated purchasers through open market transactions. These transactions were not part of the Company’s share repurchase program.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9"/>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7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5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6"/>
          </w:tcPr>
          <w:p>
            <w:pPr>
              <w:spacing w:after="0"/>
              <w:rPr>
                <w:sz w:val="15"/>
                <w:szCs w:val="15"/>
                <w:color w:val="auto"/>
              </w:rPr>
            </w:pPr>
          </w:p>
        </w:tc>
        <w:tc>
          <w:tcPr>
            <w:tcW w:w="580" w:type="dxa"/>
            <w:vAlign w:val="bottom"/>
            <w:gridSpan w:val="3"/>
          </w:tcPr>
          <w:p>
            <w:pPr>
              <w:spacing w:after="0"/>
              <w:rPr>
                <w:sz w:val="15"/>
                <w:szCs w:val="15"/>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60" w:type="dxa"/>
            <w:vAlign w:val="bottom"/>
            <w:tcBorders>
              <w:top w:val="single" w:sz="8" w:color="0000FF"/>
            </w:tcBorders>
            <w:gridSpan w:val="5"/>
          </w:tcPr>
          <w:p>
            <w:pPr>
              <w:spacing w:after="0"/>
              <w:rPr>
                <w:sz w:val="15"/>
                <w:szCs w:val="15"/>
                <w:color w:val="auto"/>
              </w:rPr>
            </w:pPr>
          </w:p>
        </w:tc>
        <w:tc>
          <w:tcPr>
            <w:tcW w:w="640" w:type="dxa"/>
            <w:vAlign w:val="bottom"/>
            <w:gridSpan w:val="4"/>
          </w:tcPr>
          <w:p>
            <w:pPr>
              <w:spacing w:after="0"/>
              <w:rPr>
                <w:sz w:val="15"/>
                <w:szCs w:val="15"/>
                <w:color w:val="auto"/>
              </w:rPr>
            </w:pPr>
          </w:p>
        </w:tc>
      </w:tr>
    </w:tbl>
    <w:p>
      <w:pPr>
        <w:spacing w:after="0" w:line="116" w:lineRule="exact"/>
        <w:rPr>
          <w:sz w:val="20"/>
          <w:szCs w:val="20"/>
          <w:color w:val="auto"/>
        </w:rPr>
      </w:pPr>
    </w:p>
    <w:p>
      <w:pPr>
        <w:ind w:left="940" w:right="20" w:hanging="932"/>
        <w:spacing w:after="0" w:line="247"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September 30, 2026,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79" w:lineRule="exact"/>
        <w:rPr>
          <w:sz w:val="20"/>
          <w:szCs w:val="20"/>
          <w:color w:val="auto"/>
        </w:rPr>
      </w:pPr>
    </w:p>
    <w:p>
      <w:pPr>
        <w:ind w:left="940" w:right="80" w:hanging="932"/>
        <w:spacing w:after="0" w:line="271"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jc w:val="center"/>
        <w:ind w:left="62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24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2026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14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September 30, 2026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020" w:val="left"/>
        </w:tabs>
        <w:rPr>
          <w:sz w:val="20"/>
          <w:szCs w:val="20"/>
          <w:color w:val="auto"/>
        </w:rPr>
      </w:pPr>
      <w:r>
        <w:rPr>
          <w:rFonts w:ascii="Arial" w:cs="Arial" w:eastAsia="Arial" w:hAnsi="Arial"/>
          <w:sz w:val="18"/>
          <w:szCs w:val="18"/>
          <w:color w:val="auto"/>
        </w:rPr>
        <w:t>Date: October 28,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11"/>
    </w:lvl>
  </w:abstractNum>
  <w:abstractNum w:abstractNumId="15">
    <w:nsid w:val="2901D82"/>
    <w:multiLevelType w:val="hybridMultilevel"/>
    <w:lvl w:ilvl="0">
      <w:lvlJc w:val="left"/>
      <w:lvlText w:val="%1."/>
      <w:numFmt w:val="decimal"/>
      <w:start w:val="12"/>
    </w:lvl>
  </w:abstractNum>
  <w:abstractNum w:abstractNumId="16">
    <w:nsid w:val="3A95F874"/>
    <w:multiLevelType w:val="hybridMultilevel"/>
    <w:lvl w:ilvl="0">
      <w:lvlJc w:val="left"/>
      <w:lvlText w:val="%1."/>
      <w:numFmt w:val="decimal"/>
      <w:start w:val="13"/>
    </w:lvl>
  </w:abstractNum>
  <w:abstractNum w:abstractNumId="17">
    <w:nsid w:val="8138641"/>
    <w:multiLevelType w:val="hybridMultilevel"/>
    <w:lvl w:ilvl="0">
      <w:lvlJc w:val="left"/>
      <w:lvlText w:val="%1."/>
      <w:numFmt w:val="decimal"/>
      <w:start w:val="14"/>
    </w:lvl>
  </w:abstractNum>
  <w:abstractNum w:abstractNumId="18">
    <w:nsid w:val="1E7FF521"/>
    <w:multiLevelType w:val="hybridMultilevel"/>
    <w:lvl w:ilvl="0">
      <w:lvlJc w:val="left"/>
      <w:lvlText w:val="%1."/>
      <w:numFmt w:val="decimal"/>
      <w:start w:val="15"/>
    </w:lvl>
  </w:abstractNum>
  <w:abstractNum w:abstractNumId="19">
    <w:nsid w:val="7C3DBD3D"/>
    <w:multiLevelType w:val="hybridMultilevel"/>
    <w:lvl w:ilvl="0">
      <w:lvlJc w:val="left"/>
      <w:lvlText w:val="%1."/>
      <w:numFmt w:val="decimal"/>
      <w:start w:val="16"/>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7"/>
    </w:lvl>
  </w:abstractNum>
  <w:abstractNum w:abstractNumId="22">
    <w:nsid w:val="22221A70"/>
    <w:multiLevelType w:val="hybridMultilevel"/>
    <w:lvl w:ilvl="0">
      <w:lvlJc w:val="left"/>
      <w:lvlText w:val="%1."/>
      <w:numFmt w:val="decimal"/>
      <w:start w:val="1"/>
    </w:lvl>
    <w:lvl w:ilvl="1">
      <w:lvlJc w:val="left"/>
      <w:lvlText w:val="%2."/>
      <w:numFmt w:val="lowerLetter"/>
      <w:start w:val="1"/>
    </w:lvl>
  </w:abstractNum>
  <w:abstractNum w:abstractNumId="23">
    <w:nsid w:val="4516DDE9"/>
    <w:multiLevelType w:val="hybridMultilevel"/>
    <w:lvl w:ilvl="0">
      <w:lvlJc w:val="left"/>
      <w:lvlText w:val="%1."/>
      <w:numFmt w:val="decimal"/>
      <w:start w:val="2"/>
    </w:lvl>
    <w:lvl w:ilvl="1">
      <w:lvlJc w:val="left"/>
      <w:lvlText w:val="%2."/>
      <w:numFmt w:val="lowerLetter"/>
      <w:start w:val="1"/>
    </w:lvl>
  </w:abstractNum>
  <w:abstractNum w:abstractNumId="24">
    <w:nsid w:val="3006C83E"/>
    <w:multiLevelType w:val="hybridMultilevel"/>
    <w:lvl w:ilvl="0">
      <w:lvlJc w:val="left"/>
      <w:lvlText w:val="%1."/>
      <w:numFmt w:val="decimal"/>
      <w:start w:val="18"/>
    </w:lvl>
  </w:abstractNum>
  <w:abstractNum w:abstractNumId="25">
    <w:nsid w:val="614FD4A1"/>
    <w:multiLevelType w:val="hybridMultilevel"/>
    <w:lvl w:ilvl="0">
      <w:lvlJc w:val="left"/>
      <w:lvlText w:val="(%1)"/>
      <w:numFmt w:val="lowerLetter"/>
      <w:start w:val="1"/>
    </w:lvl>
    <w:lvl w:ilvl="1">
      <w:lvlJc w:val="left"/>
      <w:lvlText w:val="%2."/>
      <w:numFmt w:val="lowerRoman"/>
      <w:start w:val="1"/>
    </w:lvl>
  </w:abstractNum>
  <w:abstractNum w:abstractNumId="26">
    <w:nsid w:val="419AC241"/>
    <w:multiLevelType w:val="hybridMultilevel"/>
    <w:lvl w:ilvl="0">
      <w:lvlJc w:val="left"/>
      <w:lvlText w:val="%1."/>
      <w:numFmt w:val="decimal"/>
      <w:start w:val="19"/>
    </w:lvl>
  </w:abstractNum>
  <w:abstractNum w:abstractNumId="27">
    <w:nsid w:val="5577F8E1"/>
    <w:multiLevelType w:val="hybridMultilevel"/>
    <w:lvl w:ilvl="0">
      <w:lvlJc w:val="left"/>
      <w:lvlText w:val="%1."/>
      <w:numFmt w:val="decimal"/>
      <w:start w:val="20"/>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0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2026-10-28T05:40:05Z</dcterms:created>
  <dcterms:modified xsi:type="dcterms:W3CDTF">2026-10-28T05:40:05Z</dcterms:modified>
</cp:coreProperties>
</file>